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0514" w:rsidRDefault="00480514" w:rsidP="00480514">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 xml:space="preserve">Section 32(2) </w:t>
      </w:r>
    </w:p>
    <w:p w:rsidR="00480514" w:rsidRDefault="00480514" w:rsidP="00480514">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 xml:space="preserve">Query: </w:t>
      </w:r>
    </w:p>
    <w:p w:rsidR="00480514" w:rsidRDefault="00480514" w:rsidP="00480514">
      <w:r>
        <w:rPr>
          <w:rFonts w:ascii="Helvetica" w:hAnsi="Helvetica" w:cs="Helvetica"/>
          <w:color w:val="333333"/>
          <w:sz w:val="23"/>
          <w:szCs w:val="23"/>
          <w:shd w:val="clear" w:color="auto" w:fill="FFFFFF"/>
        </w:rPr>
        <w:t>Whether filing loss return is mandatory for carry forward unabsorbed depreciation?</w:t>
      </w:r>
      <w:r>
        <w:rPr>
          <w:rFonts w:ascii="Helvetica" w:hAnsi="Helvetica" w:cs="Helvetica"/>
          <w:color w:val="333333"/>
          <w:sz w:val="23"/>
          <w:szCs w:val="23"/>
        </w:rPr>
        <w:br/>
      </w:r>
      <w:r>
        <w:rPr>
          <w:rFonts w:ascii="Helvetica" w:hAnsi="Helvetica" w:cs="Helvetica"/>
          <w:color w:val="333333"/>
          <w:sz w:val="23"/>
          <w:szCs w:val="23"/>
        </w:rPr>
        <w:br/>
      </w:r>
      <w:r>
        <w:t>Opinion:</w:t>
      </w:r>
    </w:p>
    <w:p w:rsidR="00480514" w:rsidRDefault="00480514" w:rsidP="00480514">
      <w:pPr>
        <w:pStyle w:val="ListParagraph"/>
        <w:numPr>
          <w:ilvl w:val="0"/>
          <w:numId w:val="4"/>
        </w:numPr>
      </w:pPr>
      <w:r>
        <w:t>Is it necessary to file return of income when I do not have any positive income?</w:t>
      </w:r>
    </w:p>
    <w:p w:rsidR="00480514" w:rsidRDefault="00480514" w:rsidP="00480514">
      <w:pPr>
        <w:rPr>
          <w:rFonts w:ascii="Arial" w:hAnsi="Arial" w:cs="Arial"/>
          <w:color w:val="444444"/>
          <w:sz w:val="23"/>
          <w:szCs w:val="23"/>
          <w:shd w:val="clear" w:color="auto" w:fill="FFFFFF"/>
        </w:rPr>
      </w:pPr>
      <w:r>
        <w:rPr>
          <w:rFonts w:ascii="Arial" w:hAnsi="Arial" w:cs="Arial"/>
          <w:color w:val="444444"/>
          <w:sz w:val="23"/>
          <w:szCs w:val="23"/>
          <w:shd w:val="clear" w:color="auto" w:fill="FFFFFF"/>
        </w:rPr>
        <w:t>Answer:</w:t>
      </w:r>
    </w:p>
    <w:p w:rsidR="00480514" w:rsidRDefault="00480514" w:rsidP="00480514">
      <w:pPr>
        <w:pBdr>
          <w:bottom w:val="single" w:sz="6" w:space="1" w:color="auto"/>
        </w:pBdr>
        <w:rPr>
          <w:rFonts w:ascii="Arial" w:hAnsi="Arial" w:cs="Arial"/>
          <w:color w:val="444444"/>
          <w:sz w:val="23"/>
          <w:szCs w:val="23"/>
          <w:shd w:val="clear" w:color="auto" w:fill="FFFFFF"/>
        </w:rPr>
      </w:pPr>
      <w:r>
        <w:rPr>
          <w:rFonts w:ascii="Arial" w:hAnsi="Arial" w:cs="Arial"/>
          <w:color w:val="444444"/>
          <w:sz w:val="23"/>
          <w:szCs w:val="23"/>
          <w:shd w:val="clear" w:color="auto" w:fill="FFFFFF"/>
        </w:rPr>
        <w:t>If you have sustained a loss in the financial year, which you propose to carry forward to the subsequent year for adjustment against subsequent year(s) positive income, you must make a claim of loss by filing your return before the due date.</w:t>
      </w:r>
    </w:p>
    <w:p w:rsidR="00480514" w:rsidRDefault="00480514" w:rsidP="00480514">
      <w:pPr>
        <w:pStyle w:val="tx"/>
        <w:shd w:val="clear" w:color="auto" w:fill="FFFFFF"/>
        <w:spacing w:before="0" w:beforeAutospacing="0" w:after="80" w:afterAutospacing="0"/>
        <w:jc w:val="both"/>
        <w:rPr>
          <w:color w:val="444444"/>
        </w:rPr>
      </w:pPr>
      <w:r>
        <w:rPr>
          <w:b/>
          <w:bCs/>
          <w:color w:val="444444"/>
        </w:rPr>
        <w:t>Submission of return for losses.</w:t>
      </w:r>
    </w:p>
    <w:p w:rsidR="00480514" w:rsidRDefault="00480514" w:rsidP="00480514">
      <w:pPr>
        <w:pStyle w:val="tx"/>
        <w:shd w:val="clear" w:color="auto" w:fill="FFFFFF"/>
        <w:spacing w:before="0" w:beforeAutospacing="0" w:after="80" w:afterAutospacing="0"/>
        <w:jc w:val="both"/>
        <w:rPr>
          <w:color w:val="444444"/>
        </w:rPr>
      </w:pPr>
      <w:r>
        <w:rPr>
          <w:b/>
          <w:bCs/>
          <w:color w:val="444444"/>
        </w:rPr>
        <w:t>Section 80.</w:t>
      </w:r>
      <w:r>
        <w:rPr>
          <w:rStyle w:val="apple-converted-space"/>
          <w:color w:val="444444"/>
        </w:rPr>
        <w:t> </w:t>
      </w:r>
      <w:r>
        <w:rPr>
          <w:color w:val="444444"/>
        </w:rPr>
        <w:t>Notwithstanding anything contained in this Chapter, ( Chapter VI)  no loss which has not been determined in pursuance of a return filed in accordance with the provisions of sub-section (3) of</w:t>
      </w:r>
      <w:r>
        <w:rPr>
          <w:rStyle w:val="apple-converted-space"/>
          <w:color w:val="444444"/>
        </w:rPr>
        <w:t> </w:t>
      </w:r>
      <w:hyperlink r:id="rId8" w:history="1">
        <w:r>
          <w:rPr>
            <w:rStyle w:val="Hyperlink"/>
            <w:color w:val="663399"/>
          </w:rPr>
          <w:t>section 139</w:t>
        </w:r>
      </w:hyperlink>
      <w:r>
        <w:rPr>
          <w:color w:val="444444"/>
        </w:rPr>
        <w:t>, shall be carried forward and set off under sub-section (1) of</w:t>
      </w:r>
      <w:r>
        <w:rPr>
          <w:rStyle w:val="apple-converted-space"/>
          <w:color w:val="444444"/>
        </w:rPr>
        <w:t> </w:t>
      </w:r>
      <w:hyperlink r:id="rId9" w:history="1">
        <w:r>
          <w:rPr>
            <w:rStyle w:val="Hyperlink"/>
            <w:color w:val="663399"/>
          </w:rPr>
          <w:t>section 72</w:t>
        </w:r>
      </w:hyperlink>
      <w:r>
        <w:rPr>
          <w:rStyle w:val="apple-converted-space"/>
          <w:color w:val="444444"/>
        </w:rPr>
        <w:t> </w:t>
      </w:r>
      <w:r>
        <w:rPr>
          <w:color w:val="444444"/>
        </w:rPr>
        <w:t>or sub-section (2) of</w:t>
      </w:r>
      <w:r>
        <w:rPr>
          <w:rStyle w:val="apple-converted-space"/>
          <w:color w:val="444444"/>
        </w:rPr>
        <w:t> </w:t>
      </w:r>
      <w:hyperlink r:id="rId10" w:history="1">
        <w:r>
          <w:rPr>
            <w:rStyle w:val="Hyperlink"/>
            <w:color w:val="663399"/>
          </w:rPr>
          <w:t>section 73</w:t>
        </w:r>
      </w:hyperlink>
      <w:r>
        <w:rPr>
          <w:rStyle w:val="apple-converted-space"/>
          <w:color w:val="444444"/>
        </w:rPr>
        <w:t> </w:t>
      </w:r>
      <w:hyperlink r:id="rId11" w:history="1">
        <w:r>
          <w:rPr>
            <w:rStyle w:val="Hyperlink"/>
            <w:color w:val="663399"/>
            <w:vertAlign w:val="superscript"/>
          </w:rPr>
          <w:t>52-56</w:t>
        </w:r>
      </w:hyperlink>
      <w:r>
        <w:rPr>
          <w:b/>
          <w:bCs/>
          <w:color w:val="444444"/>
        </w:rPr>
        <w:t>[</w:t>
      </w:r>
      <w:r>
        <w:rPr>
          <w:i/>
          <w:iCs/>
          <w:color w:val="444444"/>
        </w:rPr>
        <w:t>or sub-section (2) of</w:t>
      </w:r>
      <w:r>
        <w:rPr>
          <w:rStyle w:val="apple-converted-space"/>
          <w:i/>
          <w:iCs/>
          <w:color w:val="444444"/>
        </w:rPr>
        <w:t> </w:t>
      </w:r>
      <w:hyperlink r:id="rId12" w:history="1">
        <w:r>
          <w:rPr>
            <w:rStyle w:val="Hyperlink"/>
            <w:i/>
            <w:iCs/>
            <w:color w:val="663399"/>
          </w:rPr>
          <w:t>section 73A</w:t>
        </w:r>
      </w:hyperlink>
      <w:r>
        <w:rPr>
          <w:b/>
          <w:bCs/>
          <w:color w:val="444444"/>
        </w:rPr>
        <w:t>]</w:t>
      </w:r>
      <w:r>
        <w:rPr>
          <w:rStyle w:val="apple-converted-space"/>
          <w:b/>
          <w:bCs/>
          <w:color w:val="444444"/>
        </w:rPr>
        <w:t> </w:t>
      </w:r>
      <w:r>
        <w:rPr>
          <w:color w:val="444444"/>
        </w:rPr>
        <w:t>or sub-section (1) or sub-section (3) of</w:t>
      </w:r>
      <w:r>
        <w:rPr>
          <w:rStyle w:val="apple-converted-space"/>
          <w:color w:val="444444"/>
        </w:rPr>
        <w:t> </w:t>
      </w:r>
      <w:hyperlink r:id="rId13" w:history="1">
        <w:r>
          <w:rPr>
            <w:rStyle w:val="Hyperlink"/>
            <w:color w:val="663399"/>
          </w:rPr>
          <w:t>section 74</w:t>
        </w:r>
      </w:hyperlink>
      <w:r>
        <w:rPr>
          <w:rStyle w:val="apple-converted-space"/>
          <w:color w:val="444444"/>
        </w:rPr>
        <w:t> </w:t>
      </w:r>
      <w:r>
        <w:rPr>
          <w:color w:val="444444"/>
        </w:rPr>
        <w:t>or sub-section (3) of</w:t>
      </w:r>
      <w:r>
        <w:rPr>
          <w:rStyle w:val="apple-converted-space"/>
          <w:color w:val="444444"/>
        </w:rPr>
        <w:t> </w:t>
      </w:r>
      <w:hyperlink r:id="rId14" w:history="1">
        <w:r>
          <w:rPr>
            <w:rStyle w:val="Hyperlink"/>
            <w:color w:val="663399"/>
          </w:rPr>
          <w:t>section 74A</w:t>
        </w:r>
      </w:hyperlink>
      <w:r>
        <w:rPr>
          <w:color w:val="444444"/>
        </w:rPr>
        <w:t>.</w:t>
      </w:r>
    </w:p>
    <w:p w:rsidR="00480514" w:rsidRDefault="00480514" w:rsidP="00480514">
      <w:pPr>
        <w:pStyle w:val="tx"/>
        <w:pBdr>
          <w:bottom w:val="single" w:sz="6" w:space="1" w:color="auto"/>
        </w:pBdr>
        <w:shd w:val="clear" w:color="auto" w:fill="FFFFFF"/>
        <w:spacing w:before="0" w:beforeAutospacing="0" w:after="80" w:afterAutospacing="0"/>
        <w:jc w:val="both"/>
        <w:rPr>
          <w:color w:val="444444"/>
        </w:rPr>
      </w:pPr>
    </w:p>
    <w:p w:rsidR="00480514" w:rsidRDefault="00480514" w:rsidP="00480514">
      <w:pPr>
        <w:pBdr>
          <w:bottom w:val="single" w:sz="6" w:space="1" w:color="auto"/>
        </w:pBdr>
        <w:rPr>
          <w:color w:val="444444"/>
        </w:rPr>
      </w:pPr>
      <w:r>
        <w:rPr>
          <w:rFonts w:ascii="Arial" w:hAnsi="Arial" w:cs="Arial"/>
          <w:color w:val="444444"/>
          <w:sz w:val="23"/>
          <w:szCs w:val="23"/>
          <w:shd w:val="clear" w:color="auto" w:fill="FFFFFF"/>
        </w:rPr>
        <w:t xml:space="preserve"> ​​Refer also Section 139 </w:t>
      </w:r>
      <w:r>
        <w:rPr>
          <w:color w:val="444444"/>
        </w:rPr>
        <w:t xml:space="preserve">(3) </w:t>
      </w:r>
    </w:p>
    <w:p w:rsidR="00480514" w:rsidRDefault="00480514" w:rsidP="00480514">
      <w:pPr>
        <w:pBdr>
          <w:bottom w:val="single" w:sz="6" w:space="1" w:color="auto"/>
        </w:pBdr>
        <w:ind w:left="720"/>
        <w:rPr>
          <w:color w:val="444444"/>
        </w:rPr>
      </w:pPr>
      <w:r>
        <w:rPr>
          <w:color w:val="444444"/>
        </w:rPr>
        <w:t>If any person who has sustained a loss in any previous year under the head "Profits and gains of business or profession" or under the head "Capital gains" and claims that the loss or any part thereof should be carried forward under sub-section (1) of</w:t>
      </w:r>
      <w:r>
        <w:rPr>
          <w:rStyle w:val="apple-converted-space"/>
          <w:color w:val="444444"/>
        </w:rPr>
        <w:t> </w:t>
      </w:r>
      <w:hyperlink r:id="rId15" w:history="1">
        <w:r>
          <w:rPr>
            <w:rStyle w:val="Hyperlink"/>
            <w:color w:val="663399"/>
          </w:rPr>
          <w:t>section 72</w:t>
        </w:r>
      </w:hyperlink>
      <w:r>
        <w:rPr>
          <w:color w:val="444444"/>
        </w:rPr>
        <w:t>, or sub-section (2) of</w:t>
      </w:r>
      <w:r>
        <w:rPr>
          <w:rStyle w:val="apple-converted-space"/>
          <w:color w:val="444444"/>
        </w:rPr>
        <w:t> </w:t>
      </w:r>
      <w:hyperlink r:id="rId16" w:history="1">
        <w:r>
          <w:rPr>
            <w:rStyle w:val="Hyperlink"/>
            <w:color w:val="663399"/>
          </w:rPr>
          <w:t>section 73</w:t>
        </w:r>
      </w:hyperlink>
      <w:r>
        <w:rPr>
          <w:color w:val="444444"/>
        </w:rPr>
        <w:t>,</w:t>
      </w:r>
      <w:r>
        <w:rPr>
          <w:rStyle w:val="apple-converted-space"/>
          <w:color w:val="444444"/>
        </w:rPr>
        <w:t> </w:t>
      </w:r>
      <w:hyperlink r:id="rId17" w:history="1">
        <w:r>
          <w:rPr>
            <w:rStyle w:val="Hyperlink"/>
            <w:color w:val="663399"/>
            <w:vertAlign w:val="superscript"/>
          </w:rPr>
          <w:t>4</w:t>
        </w:r>
      </w:hyperlink>
      <w:r>
        <w:rPr>
          <w:b/>
          <w:bCs/>
          <w:color w:val="444444"/>
        </w:rPr>
        <w:t>[</w:t>
      </w:r>
      <w:r>
        <w:rPr>
          <w:i/>
          <w:iCs/>
          <w:color w:val="444444"/>
        </w:rPr>
        <w:t>or sub-section (2) of</w:t>
      </w:r>
      <w:r>
        <w:rPr>
          <w:rStyle w:val="apple-converted-space"/>
          <w:i/>
          <w:iCs/>
          <w:color w:val="444444"/>
        </w:rPr>
        <w:t> </w:t>
      </w:r>
      <w:hyperlink r:id="rId18" w:history="1">
        <w:r>
          <w:rPr>
            <w:rStyle w:val="Hyperlink"/>
            <w:i/>
            <w:iCs/>
            <w:color w:val="663399"/>
          </w:rPr>
          <w:t>section 73A</w:t>
        </w:r>
      </w:hyperlink>
      <w:r>
        <w:rPr>
          <w:b/>
          <w:bCs/>
          <w:color w:val="444444"/>
        </w:rPr>
        <w:t>]</w:t>
      </w:r>
      <w:r>
        <w:rPr>
          <w:rStyle w:val="apple-converted-space"/>
          <w:b/>
          <w:bCs/>
          <w:color w:val="444444"/>
        </w:rPr>
        <w:t> </w:t>
      </w:r>
      <w:r>
        <w:rPr>
          <w:color w:val="444444"/>
        </w:rPr>
        <w:t>or sub-section (1) or sub-section (3) of</w:t>
      </w:r>
      <w:r>
        <w:rPr>
          <w:rStyle w:val="apple-converted-space"/>
          <w:color w:val="444444"/>
        </w:rPr>
        <w:t> </w:t>
      </w:r>
      <w:hyperlink r:id="rId19" w:history="1">
        <w:r>
          <w:rPr>
            <w:rStyle w:val="Hyperlink"/>
            <w:color w:val="663399"/>
          </w:rPr>
          <w:t>section 74</w:t>
        </w:r>
      </w:hyperlink>
      <w:r>
        <w:rPr>
          <w:color w:val="444444"/>
        </w:rPr>
        <w:t>, or sub-section (3) of</w:t>
      </w:r>
      <w:r>
        <w:rPr>
          <w:rStyle w:val="apple-converted-space"/>
          <w:color w:val="444444"/>
        </w:rPr>
        <w:t> </w:t>
      </w:r>
      <w:hyperlink r:id="rId20" w:history="1">
        <w:r>
          <w:rPr>
            <w:rStyle w:val="Hyperlink"/>
            <w:color w:val="663399"/>
          </w:rPr>
          <w:t>section 74A</w:t>
        </w:r>
      </w:hyperlink>
      <w:r>
        <w:rPr>
          <w:color w:val="444444"/>
        </w:rPr>
        <w:t>, he may furnish, within the time allowed under sub-section (1), a return of loss in the prescribed form</w:t>
      </w:r>
      <w:hyperlink r:id="rId21" w:history="1">
        <w:r>
          <w:rPr>
            <w:rStyle w:val="Hyperlink"/>
            <w:color w:val="663399"/>
            <w:vertAlign w:val="superscript"/>
          </w:rPr>
          <w:t>5</w:t>
        </w:r>
      </w:hyperlink>
      <w:r>
        <w:rPr>
          <w:rStyle w:val="apple-converted-space"/>
          <w:color w:val="444444"/>
        </w:rPr>
        <w:t> </w:t>
      </w:r>
      <w:r>
        <w:rPr>
          <w:color w:val="444444"/>
        </w:rPr>
        <w:t>and verified in the prescribed manner and containing such other particulars as may be prescribed, and all the provisions of this Act shall apply as if it were a return under sub-section (1).</w:t>
      </w:r>
    </w:p>
    <w:p w:rsidR="00480514" w:rsidRDefault="00480514" w:rsidP="00480514">
      <w:pPr>
        <w:pBdr>
          <w:bottom w:val="single" w:sz="6" w:space="1" w:color="auto"/>
        </w:pBdr>
        <w:rPr>
          <w:rFonts w:ascii="Arial" w:hAnsi="Arial" w:cs="Arial"/>
          <w:color w:val="444444"/>
          <w:sz w:val="23"/>
          <w:szCs w:val="23"/>
          <w:shd w:val="clear" w:color="auto" w:fill="FFFFFF"/>
        </w:rPr>
      </w:pPr>
    </w:p>
    <w:p w:rsidR="00480514" w:rsidRDefault="00480514" w:rsidP="00480514">
      <w:pPr>
        <w:pBdr>
          <w:bottom w:val="single" w:sz="6" w:space="1" w:color="auto"/>
        </w:pBdr>
      </w:pPr>
    </w:p>
    <w:p w:rsidR="00480514" w:rsidRDefault="00480514" w:rsidP="00480514"/>
    <w:p w:rsidR="00480514" w:rsidRDefault="00480514" w:rsidP="00480514">
      <w:pPr>
        <w:pStyle w:val="Heading3"/>
        <w:shd w:val="clear" w:color="auto" w:fill="F7F7F7"/>
        <w:jc w:val="center"/>
        <w:rPr>
          <w:rFonts w:ascii="Segoe UI" w:hAnsi="Segoe UI" w:cs="Segoe UI"/>
          <w:color w:val="7C7C7C"/>
          <w:sz w:val="20"/>
          <w:szCs w:val="20"/>
        </w:rPr>
      </w:pPr>
      <w:r>
        <w:rPr>
          <w:rFonts w:ascii="Segoe UI Semilight" w:hAnsi="Segoe UI Semilight" w:cs="Segoe UI Semilight"/>
          <w:color w:val="7C7C7C"/>
          <w:sz w:val="21"/>
          <w:szCs w:val="21"/>
        </w:rPr>
        <w:br/>
        <w:t>Section - 139, Income-tax Act, 1961-2016</w:t>
      </w:r>
      <w:r>
        <w:rPr>
          <w:rFonts w:ascii="Segoe UI" w:hAnsi="Segoe UI" w:cs="Segoe UI"/>
          <w:color w:val="7C7C7C"/>
          <w:sz w:val="20"/>
          <w:szCs w:val="20"/>
        </w:rPr>
        <w:t xml:space="preserve"> </w:t>
      </w:r>
    </w:p>
    <w:p w:rsidR="00480514" w:rsidRDefault="00480514" w:rsidP="00480514">
      <w:pPr>
        <w:pStyle w:val="tx"/>
        <w:shd w:val="clear" w:color="auto" w:fill="FFFFFF"/>
        <w:spacing w:before="0" w:beforeAutospacing="0" w:after="80" w:afterAutospacing="0"/>
        <w:jc w:val="center"/>
        <w:rPr>
          <w:color w:val="444444"/>
        </w:rPr>
      </w:pPr>
      <w:r>
        <w:rPr>
          <w:b/>
          <w:bCs/>
          <w:i/>
          <w:iCs/>
          <w:color w:val="444444"/>
        </w:rPr>
        <w:t>CHAPTER XIV</w:t>
      </w:r>
    </w:p>
    <w:p w:rsidR="00480514" w:rsidRDefault="00480514" w:rsidP="00480514">
      <w:pPr>
        <w:pStyle w:val="tx"/>
        <w:shd w:val="clear" w:color="auto" w:fill="FFFFFF"/>
        <w:spacing w:before="0" w:beforeAutospacing="0" w:after="80" w:afterAutospacing="0"/>
        <w:jc w:val="center"/>
        <w:rPr>
          <w:color w:val="444444"/>
        </w:rPr>
      </w:pPr>
      <w:r>
        <w:rPr>
          <w:b/>
          <w:bCs/>
          <w:color w:val="444444"/>
        </w:rPr>
        <w:t>PROCEDURE FOR ASSESSMENT</w:t>
      </w:r>
    </w:p>
    <w:p w:rsidR="00480514" w:rsidRDefault="00480514" w:rsidP="00480514">
      <w:pPr>
        <w:pStyle w:val="tx"/>
        <w:shd w:val="clear" w:color="auto" w:fill="FFFFFF"/>
        <w:spacing w:before="0" w:beforeAutospacing="0" w:after="80" w:afterAutospacing="0"/>
        <w:jc w:val="both"/>
        <w:rPr>
          <w:color w:val="444444"/>
        </w:rPr>
      </w:pPr>
      <w:r>
        <w:rPr>
          <w:b/>
          <w:bCs/>
          <w:color w:val="444444"/>
        </w:rPr>
        <w:t>Return of income.</w:t>
      </w:r>
    </w:p>
    <w:p w:rsidR="00480514" w:rsidRDefault="00480514" w:rsidP="00480514">
      <w:pPr>
        <w:pStyle w:val="tx"/>
        <w:shd w:val="clear" w:color="auto" w:fill="FFFFFF"/>
        <w:spacing w:before="0" w:beforeAutospacing="0" w:after="80" w:afterAutospacing="0"/>
        <w:jc w:val="both"/>
        <w:rPr>
          <w:color w:val="444444"/>
        </w:rPr>
      </w:pPr>
      <w:r>
        <w:rPr>
          <w:b/>
          <w:bCs/>
          <w:color w:val="444444"/>
        </w:rPr>
        <w:lastRenderedPageBreak/>
        <w:t>139.</w:t>
      </w:r>
      <w:r>
        <w:rPr>
          <w:rStyle w:val="apple-converted-space"/>
          <w:color w:val="444444"/>
        </w:rPr>
        <w:t> </w:t>
      </w:r>
      <w:r>
        <w:rPr>
          <w:color w:val="444444"/>
        </w:rPr>
        <w:t>(1) every person,—</w:t>
      </w:r>
    </w:p>
    <w:p w:rsidR="00480514" w:rsidRDefault="00480514" w:rsidP="00480514">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a</w:t>
      </w:r>
      <w:r>
        <w:rPr>
          <w:color w:val="444444"/>
        </w:rPr>
        <w:t>) Being a company or a firm; or</w:t>
      </w:r>
    </w:p>
    <w:p w:rsidR="00480514" w:rsidRDefault="00480514" w:rsidP="00480514">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b</w:t>
      </w:r>
      <w:r>
        <w:rPr>
          <w:color w:val="444444"/>
        </w:rPr>
        <w:t>) being a person other than a company or a firm, if his total income or the total income of any other person in respect of which he is assessable under this Act during the previous year exceeded the maximum amount which is not chargeable to income-tax,</w:t>
      </w:r>
    </w:p>
    <w:p w:rsidR="00480514" w:rsidRDefault="00480514" w:rsidP="00480514">
      <w:pPr>
        <w:pStyle w:val="tx"/>
        <w:shd w:val="clear" w:color="auto" w:fill="FFFFFF"/>
        <w:spacing w:before="0" w:beforeAutospacing="0" w:after="80" w:afterAutospacing="0"/>
        <w:jc w:val="both"/>
        <w:rPr>
          <w:color w:val="444444"/>
        </w:rPr>
      </w:pPr>
      <w:r>
        <w:rPr>
          <w:color w:val="444444"/>
        </w:rPr>
        <w:t>Shall, on or before the due date, furnish a return of his income or the income of such other person during the previous year, in the prescribed</w:t>
      </w:r>
      <w:hyperlink r:id="rId22" w:history="1">
        <w:r>
          <w:rPr>
            <w:rStyle w:val="Hyperlink"/>
            <w:color w:val="663399"/>
            <w:vertAlign w:val="superscript"/>
          </w:rPr>
          <w:t>99</w:t>
        </w:r>
      </w:hyperlink>
      <w:r>
        <w:rPr>
          <w:rStyle w:val="apple-converted-space"/>
          <w:color w:val="444444"/>
        </w:rPr>
        <w:t> </w:t>
      </w:r>
      <w:r>
        <w:rPr>
          <w:color w:val="444444"/>
        </w:rPr>
        <w:t>form and verified in the prescribed manner and setting forth such other particulars as may be prescribed:</w:t>
      </w:r>
    </w:p>
    <w:p w:rsidR="00480514" w:rsidRDefault="00480514" w:rsidP="00480514">
      <w:pPr>
        <w:pStyle w:val="tx"/>
        <w:shd w:val="clear" w:color="auto" w:fill="FFFFFF"/>
        <w:spacing w:before="0" w:beforeAutospacing="0" w:after="80" w:afterAutospacing="0"/>
        <w:jc w:val="both"/>
        <w:rPr>
          <w:color w:val="444444"/>
        </w:rPr>
      </w:pPr>
      <w:r>
        <w:rPr>
          <w:b/>
          <w:bCs/>
          <w:color w:val="444444"/>
        </w:rPr>
        <w:t>Provided</w:t>
      </w:r>
      <w:r>
        <w:rPr>
          <w:rStyle w:val="apple-converted-space"/>
          <w:color w:val="444444"/>
        </w:rPr>
        <w:t> </w:t>
      </w:r>
      <w:r>
        <w:rPr>
          <w:color w:val="444444"/>
        </w:rPr>
        <w:t>that a person referred to in clause (</w:t>
      </w:r>
      <w:r>
        <w:rPr>
          <w:i/>
          <w:iCs/>
          <w:color w:val="444444"/>
        </w:rPr>
        <w:t>b</w:t>
      </w:r>
      <w:r>
        <w:rPr>
          <w:color w:val="444444"/>
        </w:rPr>
        <w:t>), who is not required to furnish a return under this sub-section and residing in such area as may be specified by the Board in this behalf by notification in the Official Gazette, and who during the previous year incurs an expenditure of fifty thousand rupees or more towards consumption of electricity or at any time during the previous year fulfils any one of the following conditions, namely:—</w:t>
      </w:r>
    </w:p>
    <w:p w:rsidR="00480514" w:rsidRDefault="00480514" w:rsidP="00480514">
      <w:pPr>
        <w:pStyle w:val="indent1"/>
        <w:shd w:val="clear" w:color="auto" w:fill="FFFFFF"/>
        <w:spacing w:before="0" w:beforeAutospacing="0" w:after="80" w:afterAutospacing="0"/>
        <w:ind w:left="567" w:hanging="397"/>
        <w:jc w:val="both"/>
        <w:rPr>
          <w:color w:val="444444"/>
        </w:rPr>
      </w:pPr>
      <w:r>
        <w:rPr>
          <w:color w:val="444444"/>
        </w:rPr>
        <w:t>  (</w:t>
      </w:r>
      <w:r>
        <w:rPr>
          <w:i/>
          <w:iCs/>
          <w:color w:val="444444"/>
        </w:rPr>
        <w:t>i</w:t>
      </w:r>
      <w:r>
        <w:rPr>
          <w:color w:val="444444"/>
        </w:rPr>
        <w:t>) Is in occupation of an immovable property exceeding a specified floor area, whether by way of ownership, tenancy or otherwise, as may be specified by the Board in this behalf; or</w:t>
      </w:r>
    </w:p>
    <w:p w:rsidR="00480514" w:rsidRDefault="00480514" w:rsidP="00480514">
      <w:pPr>
        <w:pStyle w:val="indent1"/>
        <w:shd w:val="clear" w:color="auto" w:fill="FFFFFF"/>
        <w:spacing w:before="0" w:beforeAutospacing="0" w:after="80" w:afterAutospacing="0"/>
        <w:ind w:left="567" w:hanging="397"/>
        <w:jc w:val="both"/>
        <w:rPr>
          <w:color w:val="444444"/>
        </w:rPr>
      </w:pPr>
      <w:r>
        <w:rPr>
          <w:color w:val="444444"/>
        </w:rPr>
        <w:t> (</w:t>
      </w:r>
      <w:r>
        <w:rPr>
          <w:i/>
          <w:iCs/>
          <w:color w:val="444444"/>
        </w:rPr>
        <w:t>ii</w:t>
      </w:r>
      <w:r>
        <w:rPr>
          <w:color w:val="444444"/>
        </w:rPr>
        <w:t>) is the owner or the lessee of a motor vehicle other than a two-wheeled motor vehicle, whether having any detachable side car having extra wheel attached to such two-wheeled motor vehicle or not; or</w:t>
      </w:r>
    </w:p>
    <w:p w:rsidR="00480514" w:rsidRDefault="00480514" w:rsidP="00480514">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iii</w:t>
      </w:r>
      <w:r>
        <w:rPr>
          <w:color w:val="444444"/>
        </w:rPr>
        <w:t>) [***]</w:t>
      </w:r>
    </w:p>
    <w:p w:rsidR="00480514" w:rsidRDefault="00480514" w:rsidP="00480514">
      <w:pPr>
        <w:pStyle w:val="indent1"/>
        <w:shd w:val="clear" w:color="auto" w:fill="FFFFFF"/>
        <w:spacing w:before="0" w:beforeAutospacing="0" w:after="80" w:afterAutospacing="0"/>
        <w:ind w:left="567" w:hanging="397"/>
        <w:jc w:val="both"/>
        <w:rPr>
          <w:color w:val="444444"/>
        </w:rPr>
      </w:pPr>
      <w:proofErr w:type="gramStart"/>
      <w:r>
        <w:rPr>
          <w:color w:val="444444"/>
        </w:rPr>
        <w:t>(</w:t>
      </w:r>
      <w:r>
        <w:rPr>
          <w:i/>
          <w:iCs/>
          <w:color w:val="444444"/>
        </w:rPr>
        <w:t>iv</w:t>
      </w:r>
      <w:r>
        <w:rPr>
          <w:color w:val="444444"/>
        </w:rPr>
        <w:t>) Has</w:t>
      </w:r>
      <w:proofErr w:type="gramEnd"/>
      <w:r>
        <w:rPr>
          <w:color w:val="444444"/>
        </w:rPr>
        <w:t xml:space="preserve"> incurred expenditure for himself or any other person on travel to any foreign country; or</w:t>
      </w:r>
    </w:p>
    <w:p w:rsidR="00480514" w:rsidRDefault="00480514" w:rsidP="00480514">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v</w:t>
      </w:r>
      <w:r>
        <w:rPr>
          <w:color w:val="444444"/>
        </w:rPr>
        <w:t>) Is the holder of a credit card, not being an "add-on" card, issued by any bank or institution; or</w:t>
      </w:r>
    </w:p>
    <w:p w:rsidR="00480514" w:rsidRDefault="00480514" w:rsidP="00480514">
      <w:pPr>
        <w:pStyle w:val="indent1"/>
        <w:shd w:val="clear" w:color="auto" w:fill="FFFFFF"/>
        <w:spacing w:before="0" w:beforeAutospacing="0" w:after="80" w:afterAutospacing="0"/>
        <w:ind w:left="567" w:hanging="397"/>
        <w:jc w:val="both"/>
        <w:rPr>
          <w:color w:val="444444"/>
        </w:rPr>
      </w:pPr>
      <w:r>
        <w:rPr>
          <w:color w:val="444444"/>
        </w:rPr>
        <w:t>(</w:t>
      </w:r>
      <w:proofErr w:type="gramStart"/>
      <w:r>
        <w:rPr>
          <w:i/>
          <w:iCs/>
          <w:color w:val="444444"/>
        </w:rPr>
        <w:t>vi</w:t>
      </w:r>
      <w:proofErr w:type="gramEnd"/>
      <w:r>
        <w:rPr>
          <w:color w:val="444444"/>
        </w:rPr>
        <w:t>) is a member of a club where entrance fee charged is twenty-five thousand rupees or more,</w:t>
      </w:r>
    </w:p>
    <w:p w:rsidR="00480514" w:rsidRDefault="00480514" w:rsidP="00480514">
      <w:pPr>
        <w:pStyle w:val="tx"/>
        <w:shd w:val="clear" w:color="auto" w:fill="FFFFFF"/>
        <w:spacing w:before="0" w:beforeAutospacing="0" w:after="80" w:afterAutospacing="0"/>
        <w:jc w:val="both"/>
        <w:rPr>
          <w:color w:val="444444"/>
        </w:rPr>
      </w:pPr>
      <w:r>
        <w:rPr>
          <w:color w:val="444444"/>
        </w:rPr>
        <w:t>shall furnish a return, of his income during any previous year ending before the 1st day of April, 2005, on or before the due date in the prescribed form and verified in the prescribed manner and setting forth such other particulars as may be prescribed :</w:t>
      </w:r>
    </w:p>
    <w:p w:rsidR="00480514" w:rsidRDefault="00480514" w:rsidP="00480514">
      <w:pPr>
        <w:pStyle w:val="tx"/>
        <w:shd w:val="clear" w:color="auto" w:fill="FFFFFF"/>
        <w:spacing w:before="0" w:beforeAutospacing="0" w:after="80" w:afterAutospacing="0"/>
        <w:jc w:val="both"/>
        <w:rPr>
          <w:color w:val="444444"/>
        </w:rPr>
      </w:pPr>
      <w:r>
        <w:rPr>
          <w:b/>
          <w:bCs/>
          <w:color w:val="444444"/>
        </w:rPr>
        <w:t>Provided further</w:t>
      </w:r>
      <w:r>
        <w:rPr>
          <w:rStyle w:val="apple-converted-space"/>
          <w:color w:val="444444"/>
        </w:rPr>
        <w:t> </w:t>
      </w:r>
      <w:r>
        <w:rPr>
          <w:color w:val="444444"/>
        </w:rPr>
        <w:t>that the Central Government may, by notification in the Official Gazette, specify the class or classes of persons to whom the provisions of the first proviso shall not apply:</w:t>
      </w:r>
    </w:p>
    <w:p w:rsidR="00480514" w:rsidRDefault="00480514" w:rsidP="00480514">
      <w:pPr>
        <w:pStyle w:val="tx"/>
        <w:shd w:val="clear" w:color="auto" w:fill="FFFFFF"/>
        <w:spacing w:before="0" w:beforeAutospacing="0" w:after="80" w:afterAutospacing="0"/>
        <w:jc w:val="both"/>
        <w:rPr>
          <w:color w:val="444444"/>
        </w:rPr>
      </w:pPr>
      <w:r>
        <w:rPr>
          <w:b/>
          <w:bCs/>
          <w:color w:val="444444"/>
        </w:rPr>
        <w:t>Provided also</w:t>
      </w:r>
      <w:r>
        <w:rPr>
          <w:rStyle w:val="apple-converted-space"/>
          <w:b/>
          <w:bCs/>
          <w:color w:val="444444"/>
        </w:rPr>
        <w:t> </w:t>
      </w:r>
      <w:r>
        <w:rPr>
          <w:color w:val="444444"/>
        </w:rPr>
        <w:t>that every company or a firm shall furnish on or before the due date the return in respect of its income or loss in every previous year:</w:t>
      </w:r>
    </w:p>
    <w:p w:rsidR="00480514" w:rsidRDefault="00480514" w:rsidP="00480514">
      <w:pPr>
        <w:pStyle w:val="tx"/>
        <w:shd w:val="clear" w:color="auto" w:fill="FFFFFF"/>
        <w:spacing w:before="0" w:beforeAutospacing="0" w:after="80" w:afterAutospacing="0"/>
        <w:jc w:val="both"/>
        <w:rPr>
          <w:color w:val="444444"/>
        </w:rPr>
      </w:pPr>
      <w:hyperlink r:id="rId23" w:history="1">
        <w:r>
          <w:rPr>
            <w:rStyle w:val="Hyperlink"/>
            <w:color w:val="663399"/>
            <w:vertAlign w:val="superscript"/>
          </w:rPr>
          <w:t>1</w:t>
        </w:r>
      </w:hyperlink>
      <w:r>
        <w:rPr>
          <w:b/>
          <w:bCs/>
          <w:color w:val="444444"/>
        </w:rPr>
        <w:t>[Provided also</w:t>
      </w:r>
      <w:r>
        <w:rPr>
          <w:rStyle w:val="apple-converted-space"/>
          <w:b/>
          <w:bCs/>
          <w:color w:val="444444"/>
        </w:rPr>
        <w:t> </w:t>
      </w:r>
      <w:r>
        <w:rPr>
          <w:i/>
          <w:iCs/>
          <w:color w:val="444444"/>
        </w:rPr>
        <w:t>that a person, being a resident other than not ordinarily resident in India within the meaning of clause (</w:t>
      </w:r>
      <w:r>
        <w:rPr>
          <w:color w:val="444444"/>
        </w:rPr>
        <w:t>6</w:t>
      </w:r>
      <w:r>
        <w:rPr>
          <w:i/>
          <w:iCs/>
          <w:color w:val="444444"/>
        </w:rPr>
        <w:t>) of</w:t>
      </w:r>
      <w:r>
        <w:rPr>
          <w:rStyle w:val="apple-converted-space"/>
          <w:i/>
          <w:iCs/>
          <w:color w:val="444444"/>
        </w:rPr>
        <w:t> </w:t>
      </w:r>
      <w:hyperlink r:id="rId24" w:history="1">
        <w:r>
          <w:rPr>
            <w:rStyle w:val="Hyperlink"/>
            <w:i/>
            <w:iCs/>
            <w:color w:val="663399"/>
          </w:rPr>
          <w:t>section 6</w:t>
        </w:r>
      </w:hyperlink>
      <w:r>
        <w:rPr>
          <w:i/>
          <w:iCs/>
          <w:color w:val="444444"/>
        </w:rPr>
        <w:t>, who is not required to furnish a return under this sub-section and who at any time during the previous year,—</w:t>
      </w:r>
    </w:p>
    <w:p w:rsidR="00480514" w:rsidRDefault="00480514" w:rsidP="00480514">
      <w:pPr>
        <w:pStyle w:val="indent1a"/>
        <w:shd w:val="clear" w:color="auto" w:fill="FFFFFF"/>
        <w:spacing w:before="0" w:beforeAutospacing="0" w:after="80" w:afterAutospacing="0"/>
        <w:ind w:left="794" w:hanging="397"/>
        <w:jc w:val="both"/>
        <w:rPr>
          <w:color w:val="444444"/>
        </w:rPr>
      </w:pPr>
      <w:r>
        <w:rPr>
          <w:i/>
          <w:iCs/>
          <w:color w:val="444444"/>
        </w:rPr>
        <w:t>(</w:t>
      </w:r>
      <w:proofErr w:type="gramStart"/>
      <w:r>
        <w:rPr>
          <w:color w:val="444444"/>
        </w:rPr>
        <w:t>a</w:t>
      </w:r>
      <w:proofErr w:type="gramEnd"/>
      <w:r>
        <w:rPr>
          <w:i/>
          <w:iCs/>
          <w:color w:val="444444"/>
        </w:rPr>
        <w:t>) holds, as a beneficial owner or otherwise, any asset (including any financial interest in any entity) located outside India or has signing authority in any account located outside India; or</w:t>
      </w:r>
    </w:p>
    <w:p w:rsidR="00480514" w:rsidRDefault="00480514" w:rsidP="00480514">
      <w:pPr>
        <w:pStyle w:val="indent1a"/>
        <w:shd w:val="clear" w:color="auto" w:fill="FFFFFF"/>
        <w:spacing w:before="0" w:beforeAutospacing="0" w:after="80" w:afterAutospacing="0"/>
        <w:ind w:left="794" w:hanging="397"/>
        <w:jc w:val="both"/>
        <w:rPr>
          <w:color w:val="444444"/>
        </w:rPr>
      </w:pPr>
      <w:r>
        <w:rPr>
          <w:i/>
          <w:iCs/>
          <w:color w:val="444444"/>
        </w:rPr>
        <w:lastRenderedPageBreak/>
        <w:t>(</w:t>
      </w:r>
      <w:r>
        <w:rPr>
          <w:color w:val="444444"/>
        </w:rPr>
        <w:t>b</w:t>
      </w:r>
      <w:r>
        <w:rPr>
          <w:i/>
          <w:iCs/>
          <w:color w:val="444444"/>
        </w:rPr>
        <w:t xml:space="preserve">) </w:t>
      </w:r>
      <w:proofErr w:type="gramStart"/>
      <w:r>
        <w:rPr>
          <w:i/>
          <w:iCs/>
          <w:color w:val="444444"/>
        </w:rPr>
        <w:t>is</w:t>
      </w:r>
      <w:proofErr w:type="gramEnd"/>
      <w:r>
        <w:rPr>
          <w:i/>
          <w:iCs/>
          <w:color w:val="444444"/>
        </w:rPr>
        <w:t xml:space="preserve"> a beneficiary of any asset (including any financial interest in any entity) located outside India,</w:t>
      </w:r>
    </w:p>
    <w:p w:rsidR="00480514" w:rsidRDefault="00480514" w:rsidP="00480514">
      <w:pPr>
        <w:pStyle w:val="tx"/>
        <w:shd w:val="clear" w:color="auto" w:fill="FFFFFF"/>
        <w:spacing w:before="0" w:beforeAutospacing="0" w:after="80" w:afterAutospacing="0"/>
        <w:jc w:val="both"/>
        <w:rPr>
          <w:color w:val="444444"/>
        </w:rPr>
      </w:pPr>
      <w:r>
        <w:rPr>
          <w:i/>
          <w:iCs/>
          <w:color w:val="444444"/>
        </w:rPr>
        <w:t>Shall furnish, on or before the due date, a return in respect of his income or loss for the previous year in such form and verified in such manner and setting forth such other particulars as may be prescribed:</w:t>
      </w:r>
    </w:p>
    <w:p w:rsidR="00480514" w:rsidRDefault="00480514" w:rsidP="00480514">
      <w:pPr>
        <w:pStyle w:val="tx"/>
        <w:shd w:val="clear" w:color="auto" w:fill="FFFFFF"/>
        <w:spacing w:before="0" w:beforeAutospacing="0" w:after="80" w:afterAutospacing="0"/>
        <w:jc w:val="both"/>
        <w:rPr>
          <w:color w:val="444444"/>
        </w:rPr>
      </w:pPr>
      <w:r>
        <w:rPr>
          <w:b/>
          <w:bCs/>
          <w:color w:val="444444"/>
        </w:rPr>
        <w:t>Provided also</w:t>
      </w:r>
      <w:r>
        <w:rPr>
          <w:rStyle w:val="apple-converted-space"/>
          <w:b/>
          <w:bCs/>
          <w:color w:val="444444"/>
        </w:rPr>
        <w:t> </w:t>
      </w:r>
      <w:r>
        <w:rPr>
          <w:i/>
          <w:iCs/>
          <w:color w:val="444444"/>
        </w:rPr>
        <w:t>that nothing contained in the fourth proviso shall apply to an individual, being a beneficiary of any asset (including any financial interest in any entity) located outside India where, income, if any, arising from such asset is includible in the income of the person referred to in clause</w:t>
      </w:r>
      <w:r>
        <w:rPr>
          <w:rStyle w:val="apple-converted-space"/>
          <w:color w:val="444444"/>
        </w:rPr>
        <w:t> </w:t>
      </w:r>
      <w:r>
        <w:rPr>
          <w:color w:val="444444"/>
        </w:rPr>
        <w:t>(a)</w:t>
      </w:r>
      <w:r>
        <w:rPr>
          <w:rStyle w:val="apple-converted-space"/>
          <w:color w:val="444444"/>
        </w:rPr>
        <w:t> </w:t>
      </w:r>
      <w:r>
        <w:rPr>
          <w:i/>
          <w:iCs/>
          <w:color w:val="444444"/>
        </w:rPr>
        <w:t>of that proviso in accordance with the provisions of this Act:</w:t>
      </w:r>
      <w:r>
        <w:rPr>
          <w:b/>
          <w:bCs/>
          <w:color w:val="444444"/>
        </w:rPr>
        <w:t>]</w:t>
      </w:r>
    </w:p>
    <w:p w:rsidR="00480514" w:rsidRDefault="00480514" w:rsidP="00480514">
      <w:pPr>
        <w:pStyle w:val="tx"/>
        <w:shd w:val="clear" w:color="auto" w:fill="FFFFFF"/>
        <w:spacing w:before="0" w:beforeAutospacing="0" w:after="80" w:afterAutospacing="0"/>
        <w:jc w:val="both"/>
        <w:rPr>
          <w:color w:val="444444"/>
        </w:rPr>
      </w:pPr>
      <w:r>
        <w:rPr>
          <w:b/>
          <w:bCs/>
          <w:color w:val="444444"/>
        </w:rPr>
        <w:t>Provided also</w:t>
      </w:r>
      <w:r>
        <w:rPr>
          <w:rStyle w:val="apple-converted-space"/>
          <w:b/>
          <w:bCs/>
          <w:color w:val="444444"/>
        </w:rPr>
        <w:t> </w:t>
      </w:r>
      <w:r>
        <w:rPr>
          <w:color w:val="444444"/>
        </w:rPr>
        <w:t>that every person, being an individual or a Hindu undivided family or an association of persons or a body of individuals, whether incorporated or not, or an artificial juridical person, if his total income or the total income of any other person in respect of which he is assessable under this Act during the previous year, without giving effect to the provisions of</w:t>
      </w:r>
      <w:r>
        <w:rPr>
          <w:rStyle w:val="apple-converted-space"/>
          <w:color w:val="444444"/>
        </w:rPr>
        <w:t> </w:t>
      </w:r>
      <w:hyperlink r:id="rId25" w:history="1">
        <w:r>
          <w:rPr>
            <w:rStyle w:val="Hyperlink"/>
            <w:color w:val="663399"/>
            <w:vertAlign w:val="superscript"/>
          </w:rPr>
          <w:t>2</w:t>
        </w:r>
      </w:hyperlink>
      <w:r>
        <w:rPr>
          <w:b/>
          <w:bCs/>
          <w:color w:val="444444"/>
        </w:rPr>
        <w:t>[</w:t>
      </w:r>
      <w:r>
        <w:rPr>
          <w:i/>
          <w:iCs/>
          <w:color w:val="444444"/>
        </w:rPr>
        <w:t>clause (</w:t>
      </w:r>
      <w:r>
        <w:rPr>
          <w:color w:val="444444"/>
        </w:rPr>
        <w:t>38</w:t>
      </w:r>
      <w:r>
        <w:rPr>
          <w:i/>
          <w:iCs/>
          <w:color w:val="444444"/>
        </w:rPr>
        <w:t>) of section</w:t>
      </w:r>
      <w:r>
        <w:rPr>
          <w:rStyle w:val="apple-converted-space"/>
          <w:i/>
          <w:iCs/>
          <w:color w:val="444444"/>
        </w:rPr>
        <w:t> </w:t>
      </w:r>
      <w:r>
        <w:rPr>
          <w:i/>
          <w:iCs/>
          <w:color w:val="444444"/>
        </w:rPr>
        <w:t>or</w:t>
      </w:r>
      <w:r>
        <w:rPr>
          <w:b/>
          <w:bCs/>
          <w:color w:val="444444"/>
        </w:rPr>
        <w:t>]</w:t>
      </w:r>
      <w:r>
        <w:rPr>
          <w:rStyle w:val="apple-converted-space"/>
          <w:b/>
          <w:bCs/>
          <w:color w:val="444444"/>
        </w:rPr>
        <w:t> </w:t>
      </w:r>
      <w:hyperlink r:id="rId26" w:history="1">
        <w:r>
          <w:rPr>
            <w:rStyle w:val="Hyperlink"/>
            <w:color w:val="663399"/>
          </w:rPr>
          <w:t>section 10A</w:t>
        </w:r>
      </w:hyperlink>
      <w:r>
        <w:rPr>
          <w:rStyle w:val="apple-converted-space"/>
          <w:color w:val="444444"/>
        </w:rPr>
        <w:t> </w:t>
      </w:r>
      <w:r>
        <w:rPr>
          <w:color w:val="444444"/>
        </w:rPr>
        <w:t>or</w:t>
      </w:r>
      <w:r>
        <w:rPr>
          <w:rStyle w:val="apple-converted-space"/>
          <w:color w:val="444444"/>
        </w:rPr>
        <w:t> </w:t>
      </w:r>
      <w:hyperlink r:id="rId27" w:history="1">
        <w:r>
          <w:rPr>
            <w:rStyle w:val="Hyperlink"/>
            <w:color w:val="663399"/>
          </w:rPr>
          <w:t>section 10B</w:t>
        </w:r>
      </w:hyperlink>
      <w:r>
        <w:rPr>
          <w:rStyle w:val="apple-converted-space"/>
          <w:color w:val="444444"/>
        </w:rPr>
        <w:t> </w:t>
      </w:r>
      <w:r>
        <w:rPr>
          <w:color w:val="444444"/>
        </w:rPr>
        <w:t>or</w:t>
      </w:r>
      <w:r>
        <w:rPr>
          <w:rStyle w:val="apple-converted-space"/>
          <w:color w:val="444444"/>
        </w:rPr>
        <w:t> </w:t>
      </w:r>
      <w:hyperlink r:id="rId28" w:history="1">
        <w:r>
          <w:rPr>
            <w:rStyle w:val="Hyperlink"/>
            <w:color w:val="663399"/>
          </w:rPr>
          <w:t>section 10BA</w:t>
        </w:r>
      </w:hyperlink>
      <w:r>
        <w:rPr>
          <w:rStyle w:val="apple-converted-space"/>
          <w:color w:val="444444"/>
        </w:rPr>
        <w:t> </w:t>
      </w:r>
      <w:r>
        <w:rPr>
          <w:color w:val="444444"/>
        </w:rPr>
        <w:t>or Chapter VI-A exceeded the maximum amount which is not chargeable to income-tax, shall, on or before the due date, furnish a return of his income or the income of such other person during the previous year, in the prescribed form and verified in the prescribed manner and setting forth such other particulars as may be prescribed.</w:t>
      </w:r>
    </w:p>
    <w:p w:rsidR="00480514" w:rsidRDefault="00480514" w:rsidP="00480514">
      <w:pPr>
        <w:pStyle w:val="tx"/>
        <w:shd w:val="clear" w:color="auto" w:fill="FFFFFF"/>
        <w:spacing w:before="0" w:beforeAutospacing="0" w:after="80" w:afterAutospacing="0"/>
        <w:jc w:val="both"/>
        <w:rPr>
          <w:color w:val="444444"/>
        </w:rPr>
      </w:pPr>
      <w:r>
        <w:rPr>
          <w:i/>
          <w:iCs/>
          <w:color w:val="444444"/>
        </w:rPr>
        <w:t>Explanation 1.—</w:t>
      </w:r>
      <w:r>
        <w:rPr>
          <w:color w:val="444444"/>
        </w:rPr>
        <w:t>For the purposes of this sub-section, the expression "motor vehicle" shall have the meaning assigned to it in clause (</w:t>
      </w:r>
      <w:r>
        <w:rPr>
          <w:i/>
          <w:iCs/>
          <w:color w:val="444444"/>
        </w:rPr>
        <w:t>28</w:t>
      </w:r>
      <w:r>
        <w:rPr>
          <w:color w:val="444444"/>
        </w:rPr>
        <w:t>) of section 2 of the Motor Vehicles Act, 1988 (59 of 1988).</w:t>
      </w:r>
    </w:p>
    <w:p w:rsidR="00480514" w:rsidRDefault="00480514" w:rsidP="00480514">
      <w:pPr>
        <w:pStyle w:val="tx"/>
        <w:shd w:val="clear" w:color="auto" w:fill="FFFFFF"/>
        <w:spacing w:before="0" w:beforeAutospacing="0" w:after="80" w:afterAutospacing="0"/>
        <w:jc w:val="both"/>
        <w:rPr>
          <w:color w:val="444444"/>
        </w:rPr>
      </w:pPr>
      <w:r>
        <w:rPr>
          <w:i/>
          <w:iCs/>
          <w:color w:val="444444"/>
        </w:rPr>
        <w:t>Explanation 2.—</w:t>
      </w:r>
      <w:proofErr w:type="gramStart"/>
      <w:r>
        <w:rPr>
          <w:color w:val="444444"/>
        </w:rPr>
        <w:t>In</w:t>
      </w:r>
      <w:proofErr w:type="gramEnd"/>
      <w:r>
        <w:rPr>
          <w:color w:val="444444"/>
        </w:rPr>
        <w:t xml:space="preserve"> this sub-section, "due date" means,—</w:t>
      </w:r>
    </w:p>
    <w:p w:rsidR="00480514" w:rsidRDefault="00480514" w:rsidP="00480514">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a</w:t>
      </w:r>
      <w:r>
        <w:rPr>
          <w:color w:val="444444"/>
        </w:rPr>
        <w:t>) Where the assessee other than an assessee referred to in clause (</w:t>
      </w:r>
      <w:proofErr w:type="gramStart"/>
      <w:r>
        <w:rPr>
          <w:i/>
          <w:iCs/>
          <w:color w:val="444444"/>
        </w:rPr>
        <w:t>aa</w:t>
      </w:r>
      <w:proofErr w:type="gramEnd"/>
      <w:r>
        <w:rPr>
          <w:color w:val="444444"/>
        </w:rPr>
        <w:t>) is—</w:t>
      </w:r>
    </w:p>
    <w:p w:rsidR="00480514" w:rsidRDefault="00480514" w:rsidP="0048051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i</w:t>
      </w:r>
      <w:r>
        <w:rPr>
          <w:color w:val="444444"/>
        </w:rPr>
        <w:t xml:space="preserve">) </w:t>
      </w:r>
      <w:proofErr w:type="gramStart"/>
      <w:r>
        <w:rPr>
          <w:color w:val="444444"/>
        </w:rPr>
        <w:t>a</w:t>
      </w:r>
      <w:proofErr w:type="gramEnd"/>
      <w:r>
        <w:rPr>
          <w:color w:val="444444"/>
        </w:rPr>
        <w:t xml:space="preserve"> company; or</w:t>
      </w:r>
    </w:p>
    <w:p w:rsidR="00480514" w:rsidRDefault="00480514" w:rsidP="0048051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ii</w:t>
      </w:r>
      <w:r>
        <w:rPr>
          <w:color w:val="444444"/>
        </w:rPr>
        <w:t xml:space="preserve">) </w:t>
      </w:r>
      <w:proofErr w:type="gramStart"/>
      <w:r>
        <w:rPr>
          <w:color w:val="444444"/>
        </w:rPr>
        <w:t>a</w:t>
      </w:r>
      <w:proofErr w:type="gramEnd"/>
      <w:r>
        <w:rPr>
          <w:color w:val="444444"/>
        </w:rPr>
        <w:t xml:space="preserve"> person (other than a company) whose accounts are required to be audited under this Act or under any other law for the time being in force; or</w:t>
      </w:r>
    </w:p>
    <w:p w:rsidR="00480514" w:rsidRDefault="00480514" w:rsidP="0048051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iii</w:t>
      </w:r>
      <w:r>
        <w:rPr>
          <w:color w:val="444444"/>
        </w:rPr>
        <w:t xml:space="preserve">) </w:t>
      </w:r>
      <w:proofErr w:type="gramStart"/>
      <w:r>
        <w:rPr>
          <w:color w:val="444444"/>
        </w:rPr>
        <w:t>a</w:t>
      </w:r>
      <w:proofErr w:type="gramEnd"/>
      <w:r>
        <w:rPr>
          <w:color w:val="444444"/>
        </w:rPr>
        <w:t xml:space="preserve"> working partner of a firm whose accounts are required to be audited under this Act or under any other law for the time being in force,</w:t>
      </w:r>
    </w:p>
    <w:p w:rsidR="00480514" w:rsidRDefault="00480514" w:rsidP="00480514">
      <w:pPr>
        <w:pStyle w:val="indent1"/>
        <w:shd w:val="clear" w:color="auto" w:fill="FFFFFF"/>
        <w:spacing w:before="0" w:beforeAutospacing="0" w:after="80" w:afterAutospacing="0"/>
        <w:ind w:left="567"/>
        <w:jc w:val="both"/>
        <w:rPr>
          <w:color w:val="444444"/>
        </w:rPr>
      </w:pPr>
      <w:proofErr w:type="gramStart"/>
      <w:r>
        <w:rPr>
          <w:color w:val="444444"/>
        </w:rPr>
        <w:t>the</w:t>
      </w:r>
      <w:proofErr w:type="gramEnd"/>
      <w:r>
        <w:rPr>
          <w:color w:val="444444"/>
        </w:rPr>
        <w:t xml:space="preserve"> 30th day of September of the assessment year;</w:t>
      </w:r>
    </w:p>
    <w:p w:rsidR="00480514" w:rsidRDefault="00480514" w:rsidP="00480514">
      <w:pPr>
        <w:pStyle w:val="indent1"/>
        <w:shd w:val="clear" w:color="auto" w:fill="FFFFFF"/>
        <w:spacing w:before="0" w:beforeAutospacing="0" w:after="80" w:afterAutospacing="0"/>
        <w:ind w:left="567" w:hanging="510"/>
        <w:jc w:val="both"/>
        <w:rPr>
          <w:color w:val="444444"/>
        </w:rPr>
      </w:pPr>
      <w:r>
        <w:rPr>
          <w:color w:val="444444"/>
        </w:rPr>
        <w:t>(</w:t>
      </w:r>
      <w:proofErr w:type="gramStart"/>
      <w:r>
        <w:rPr>
          <w:i/>
          <w:iCs/>
          <w:color w:val="444444"/>
        </w:rPr>
        <w:t>aa</w:t>
      </w:r>
      <w:proofErr w:type="gramEnd"/>
      <w:r>
        <w:rPr>
          <w:color w:val="444444"/>
        </w:rPr>
        <w:t>) in the case of an assessee who is required to furnish a report referred to in</w:t>
      </w:r>
      <w:r>
        <w:rPr>
          <w:rStyle w:val="apple-converted-space"/>
          <w:color w:val="444444"/>
        </w:rPr>
        <w:t> </w:t>
      </w:r>
      <w:hyperlink r:id="rId29" w:history="1">
        <w:r>
          <w:rPr>
            <w:rStyle w:val="Hyperlink"/>
            <w:color w:val="663399"/>
          </w:rPr>
          <w:t>section 92E</w:t>
        </w:r>
      </w:hyperlink>
      <w:r>
        <w:rPr>
          <w:color w:val="444444"/>
        </w:rPr>
        <w:t>, the 30th day of November of the assessment year;</w:t>
      </w:r>
    </w:p>
    <w:p w:rsidR="00480514" w:rsidRDefault="00480514" w:rsidP="00480514">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b</w:t>
      </w:r>
      <w:r>
        <w:rPr>
          <w:color w:val="444444"/>
        </w:rPr>
        <w:t xml:space="preserve">) </w:t>
      </w:r>
      <w:proofErr w:type="gramStart"/>
      <w:r>
        <w:rPr>
          <w:color w:val="444444"/>
        </w:rPr>
        <w:t>in</w:t>
      </w:r>
      <w:proofErr w:type="gramEnd"/>
      <w:r>
        <w:rPr>
          <w:color w:val="444444"/>
        </w:rPr>
        <w:t xml:space="preserve"> the case of a person other than a company, referred to in the first proviso to this sub-section, the 31st day of October of the assessment year;</w:t>
      </w:r>
    </w:p>
    <w:p w:rsidR="00480514" w:rsidRDefault="00480514" w:rsidP="00480514">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c</w:t>
      </w:r>
      <w:r>
        <w:rPr>
          <w:color w:val="444444"/>
        </w:rPr>
        <w:t xml:space="preserve">) </w:t>
      </w:r>
      <w:proofErr w:type="gramStart"/>
      <w:r>
        <w:rPr>
          <w:color w:val="444444"/>
        </w:rPr>
        <w:t>in</w:t>
      </w:r>
      <w:proofErr w:type="gramEnd"/>
      <w:r>
        <w:rPr>
          <w:color w:val="444444"/>
        </w:rPr>
        <w:t xml:space="preserve"> the case of any other assessee, the 31st day of July of the assessment year.</w:t>
      </w:r>
    </w:p>
    <w:p w:rsidR="00480514" w:rsidRDefault="00480514" w:rsidP="00480514">
      <w:pPr>
        <w:pStyle w:val="tx"/>
        <w:shd w:val="clear" w:color="auto" w:fill="FFFFFF"/>
        <w:spacing w:before="0" w:beforeAutospacing="0" w:after="80" w:afterAutospacing="0"/>
        <w:jc w:val="both"/>
        <w:rPr>
          <w:color w:val="444444"/>
        </w:rPr>
      </w:pPr>
      <w:r>
        <w:rPr>
          <w:i/>
          <w:iCs/>
          <w:color w:val="444444"/>
        </w:rPr>
        <w:t>Explanation 3.—</w:t>
      </w:r>
      <w:proofErr w:type="gramStart"/>
      <w:r>
        <w:rPr>
          <w:color w:val="444444"/>
        </w:rPr>
        <w:t>For</w:t>
      </w:r>
      <w:proofErr w:type="gramEnd"/>
      <w:r>
        <w:rPr>
          <w:color w:val="444444"/>
        </w:rPr>
        <w:t xml:space="preserve"> the purposes of this sub-section, the expression "travel to any foreign country" does not include travel to the neighbouring countries or to such places of pilgrimage as the Board may specify in this behalf by notification in the Official Gazette.</w:t>
      </w:r>
    </w:p>
    <w:p w:rsidR="00480514" w:rsidRDefault="00480514" w:rsidP="00480514">
      <w:pPr>
        <w:pStyle w:val="tx"/>
        <w:shd w:val="clear" w:color="auto" w:fill="FFFFFF"/>
        <w:spacing w:before="0" w:beforeAutospacing="0" w:after="80" w:afterAutospacing="0"/>
        <w:jc w:val="both"/>
        <w:rPr>
          <w:color w:val="444444"/>
        </w:rPr>
      </w:pPr>
      <w:hyperlink r:id="rId30" w:history="1">
        <w:r>
          <w:rPr>
            <w:rStyle w:val="Hyperlink"/>
            <w:color w:val="663399"/>
            <w:vertAlign w:val="superscript"/>
          </w:rPr>
          <w:t>3</w:t>
        </w:r>
      </w:hyperlink>
      <w:r>
        <w:rPr>
          <w:color w:val="444444"/>
        </w:rPr>
        <w:t>[Explanation 4.</w:t>
      </w:r>
      <w:r>
        <w:rPr>
          <w:i/>
          <w:iCs/>
          <w:color w:val="444444"/>
        </w:rPr>
        <w:t>—For the purposes of this section "beneficial owner" in respect of an asset means an individual who has provided, directly or indirectly, consideration for the asset for the immediate or future benefit, direct or indirect, of himself or any other person.</w:t>
      </w:r>
    </w:p>
    <w:p w:rsidR="00480514" w:rsidRDefault="00480514" w:rsidP="00480514">
      <w:pPr>
        <w:pStyle w:val="tx"/>
        <w:shd w:val="clear" w:color="auto" w:fill="FFFFFF"/>
        <w:spacing w:before="0" w:beforeAutospacing="0" w:after="80" w:afterAutospacing="0"/>
        <w:jc w:val="both"/>
        <w:rPr>
          <w:color w:val="444444"/>
        </w:rPr>
      </w:pPr>
      <w:r>
        <w:rPr>
          <w:color w:val="444444"/>
        </w:rPr>
        <w:t>Explanation 5.—</w:t>
      </w:r>
      <w:proofErr w:type="gramStart"/>
      <w:r>
        <w:rPr>
          <w:i/>
          <w:iCs/>
          <w:color w:val="444444"/>
        </w:rPr>
        <w:t>For</w:t>
      </w:r>
      <w:proofErr w:type="gramEnd"/>
      <w:r>
        <w:rPr>
          <w:i/>
          <w:iCs/>
          <w:color w:val="444444"/>
        </w:rPr>
        <w:t xml:space="preserve"> the purposes of this section "beneficiary" in respect of an asset means an individual who derives benefit from the asset during the previous year and the consideration for such asset has been provided by any person other than such beneficiary.</w:t>
      </w:r>
      <w:r>
        <w:rPr>
          <w:color w:val="444444"/>
        </w:rPr>
        <w:t>]</w:t>
      </w:r>
    </w:p>
    <w:p w:rsidR="00480514" w:rsidRDefault="00480514" w:rsidP="00480514">
      <w:pPr>
        <w:pStyle w:val="tx"/>
        <w:shd w:val="clear" w:color="auto" w:fill="FFFFFF"/>
        <w:spacing w:before="0" w:beforeAutospacing="0" w:after="80" w:afterAutospacing="0"/>
        <w:jc w:val="both"/>
        <w:rPr>
          <w:color w:val="444444"/>
        </w:rPr>
      </w:pPr>
      <w:r>
        <w:rPr>
          <w:color w:val="444444"/>
        </w:rPr>
        <w:t>(1A) Without prejudice to the provisions of sub-section (1), any person, being an individual who is in receipt of income chargeable under the head "Salaries" may, at his option, furnish a return of his income for any previous year to his employer, in accordance with such scheme as may be specified by the Board in this behalf, by notification in the Official Gazette, and subject to such conditions as may be specified therein, and such employer shall furnish all returns of income received by him on or before the due date, in such form (including on a floppy, diskette, magnetic cartridge tape, CD-ROM or any other computer readable media) and manner as may be specified in that scheme, and in such case, any employee who has filed a return of his income to his employer shall be deemed to have furnished a return of income under sub-section (1), and the provisions of this Act shall apply accordingly.</w:t>
      </w:r>
    </w:p>
    <w:p w:rsidR="00480514" w:rsidRDefault="00480514" w:rsidP="00480514">
      <w:pPr>
        <w:pStyle w:val="tx"/>
        <w:shd w:val="clear" w:color="auto" w:fill="FFFFFF"/>
        <w:spacing w:before="0" w:beforeAutospacing="0" w:after="80" w:afterAutospacing="0"/>
        <w:jc w:val="both"/>
        <w:rPr>
          <w:color w:val="444444"/>
        </w:rPr>
      </w:pPr>
      <w:r>
        <w:rPr>
          <w:color w:val="444444"/>
        </w:rPr>
        <w:t>(1B) Without prejudice to the provisions of sub-section (1), any person, being a company or being a person other than a company, required to furnish a return of income under sub-section (1), may, at his option, on or before the due date, furnish a return of his income for any previous year in accordance with such scheme as may be specified by the Board in this behalf by notification in the Official Gazette and subject to such conditions as may be specified therein, in such form (including on a floppy, diskette, magnetic cartridge tape, CD-ROM or any other computer readable media) and in the manner as may be specified in that scheme, and in such case, the return of income furnished under such scheme shall be deemed to be a return furnished under sub-section (1), and the provisions of this Act shall apply accordingly.</w:t>
      </w:r>
    </w:p>
    <w:p w:rsidR="00480514" w:rsidRDefault="00480514" w:rsidP="00480514">
      <w:pPr>
        <w:pStyle w:val="tx"/>
        <w:shd w:val="clear" w:color="auto" w:fill="FFFFFF"/>
        <w:spacing w:before="0" w:beforeAutospacing="0" w:after="80" w:afterAutospacing="0"/>
        <w:jc w:val="both"/>
        <w:rPr>
          <w:color w:val="444444"/>
        </w:rPr>
      </w:pPr>
      <w:r>
        <w:rPr>
          <w:color w:val="444444"/>
        </w:rPr>
        <w:t>(1C) Notwithstanding anything contained in sub-section (1), the Central Government may, by notification in the Official Gazette, exempt any class or classes of persons from the requirement of furnishing a return of income having regard to such conditions as may be specified in that notification.</w:t>
      </w:r>
    </w:p>
    <w:p w:rsidR="00480514" w:rsidRDefault="00480514" w:rsidP="00480514">
      <w:pPr>
        <w:pStyle w:val="tx"/>
        <w:shd w:val="clear" w:color="auto" w:fill="FFFFFF"/>
        <w:spacing w:before="0" w:beforeAutospacing="0" w:after="80" w:afterAutospacing="0"/>
        <w:jc w:val="both"/>
        <w:rPr>
          <w:color w:val="444444"/>
        </w:rPr>
      </w:pPr>
      <w:r>
        <w:rPr>
          <w:color w:val="444444"/>
        </w:rPr>
        <w:t>(3) If any person who has sustained a loss in any previous year under the head "Profits and gains of business or profession" or under the head "Capital gains" and claims that the loss or any part thereof should be carried forward under sub-section (1) of</w:t>
      </w:r>
      <w:r>
        <w:rPr>
          <w:rStyle w:val="apple-converted-space"/>
          <w:color w:val="444444"/>
        </w:rPr>
        <w:t> </w:t>
      </w:r>
      <w:hyperlink r:id="rId31" w:history="1">
        <w:r>
          <w:rPr>
            <w:rStyle w:val="Hyperlink"/>
            <w:color w:val="663399"/>
          </w:rPr>
          <w:t>section 72</w:t>
        </w:r>
      </w:hyperlink>
      <w:r>
        <w:rPr>
          <w:color w:val="444444"/>
        </w:rPr>
        <w:t>, or sub-section (2) of</w:t>
      </w:r>
      <w:r>
        <w:rPr>
          <w:rStyle w:val="apple-converted-space"/>
          <w:color w:val="444444"/>
        </w:rPr>
        <w:t> </w:t>
      </w:r>
      <w:hyperlink r:id="rId32" w:history="1">
        <w:r>
          <w:rPr>
            <w:rStyle w:val="Hyperlink"/>
            <w:color w:val="663399"/>
          </w:rPr>
          <w:t>section 73</w:t>
        </w:r>
      </w:hyperlink>
      <w:r>
        <w:rPr>
          <w:color w:val="444444"/>
        </w:rPr>
        <w:t>,</w:t>
      </w:r>
      <w:r>
        <w:rPr>
          <w:rStyle w:val="apple-converted-space"/>
          <w:color w:val="444444"/>
        </w:rPr>
        <w:t> </w:t>
      </w:r>
      <w:hyperlink r:id="rId33" w:history="1">
        <w:r>
          <w:rPr>
            <w:rStyle w:val="Hyperlink"/>
            <w:color w:val="663399"/>
            <w:vertAlign w:val="superscript"/>
          </w:rPr>
          <w:t>4</w:t>
        </w:r>
      </w:hyperlink>
      <w:r>
        <w:rPr>
          <w:b/>
          <w:bCs/>
          <w:color w:val="444444"/>
        </w:rPr>
        <w:t>[</w:t>
      </w:r>
      <w:r>
        <w:rPr>
          <w:i/>
          <w:iCs/>
          <w:color w:val="444444"/>
        </w:rPr>
        <w:t>or sub-section (2) of</w:t>
      </w:r>
      <w:r>
        <w:rPr>
          <w:rStyle w:val="apple-converted-space"/>
          <w:i/>
          <w:iCs/>
          <w:color w:val="444444"/>
        </w:rPr>
        <w:t> </w:t>
      </w:r>
      <w:hyperlink r:id="rId34" w:history="1">
        <w:r>
          <w:rPr>
            <w:rStyle w:val="Hyperlink"/>
            <w:i/>
            <w:iCs/>
            <w:color w:val="663399"/>
          </w:rPr>
          <w:t>section 73A</w:t>
        </w:r>
      </w:hyperlink>
      <w:r>
        <w:rPr>
          <w:b/>
          <w:bCs/>
          <w:color w:val="444444"/>
        </w:rPr>
        <w:t>]</w:t>
      </w:r>
      <w:r>
        <w:rPr>
          <w:rStyle w:val="apple-converted-space"/>
          <w:b/>
          <w:bCs/>
          <w:color w:val="444444"/>
        </w:rPr>
        <w:t> </w:t>
      </w:r>
      <w:r>
        <w:rPr>
          <w:color w:val="444444"/>
        </w:rPr>
        <w:t>or sub-section (1) or sub-section (3) of</w:t>
      </w:r>
      <w:r>
        <w:rPr>
          <w:rStyle w:val="apple-converted-space"/>
          <w:color w:val="444444"/>
        </w:rPr>
        <w:t> </w:t>
      </w:r>
      <w:hyperlink r:id="rId35" w:history="1">
        <w:r>
          <w:rPr>
            <w:rStyle w:val="Hyperlink"/>
            <w:color w:val="663399"/>
          </w:rPr>
          <w:t>section 74</w:t>
        </w:r>
      </w:hyperlink>
      <w:r>
        <w:rPr>
          <w:color w:val="444444"/>
        </w:rPr>
        <w:t>, or sub-section (3) of</w:t>
      </w:r>
      <w:r>
        <w:rPr>
          <w:rStyle w:val="apple-converted-space"/>
          <w:color w:val="444444"/>
        </w:rPr>
        <w:t> </w:t>
      </w:r>
      <w:hyperlink r:id="rId36" w:history="1">
        <w:r>
          <w:rPr>
            <w:rStyle w:val="Hyperlink"/>
            <w:color w:val="663399"/>
          </w:rPr>
          <w:t>section 74A</w:t>
        </w:r>
      </w:hyperlink>
      <w:r>
        <w:rPr>
          <w:color w:val="444444"/>
        </w:rPr>
        <w:t>, he may furnish, within the time allowed under sub-section (1), a return of loss in the prescribed form</w:t>
      </w:r>
      <w:hyperlink r:id="rId37" w:history="1">
        <w:r>
          <w:rPr>
            <w:rStyle w:val="Hyperlink"/>
            <w:color w:val="663399"/>
            <w:vertAlign w:val="superscript"/>
          </w:rPr>
          <w:t>5</w:t>
        </w:r>
      </w:hyperlink>
      <w:r>
        <w:rPr>
          <w:rStyle w:val="apple-converted-space"/>
          <w:color w:val="444444"/>
        </w:rPr>
        <w:t> </w:t>
      </w:r>
      <w:r>
        <w:rPr>
          <w:color w:val="444444"/>
        </w:rPr>
        <w:t>and verified in the prescribed manner and containing such other particulars as may be prescribed, and all the provisions of this Act shall apply as if it were a return under sub-section (1).</w:t>
      </w:r>
    </w:p>
    <w:p w:rsidR="00480514" w:rsidRDefault="00480514" w:rsidP="00480514">
      <w:pPr>
        <w:pStyle w:val="tx"/>
        <w:shd w:val="clear" w:color="auto" w:fill="FFFFFF"/>
        <w:spacing w:before="0" w:beforeAutospacing="0" w:after="80" w:afterAutospacing="0"/>
        <w:jc w:val="both"/>
        <w:rPr>
          <w:color w:val="444444"/>
        </w:rPr>
      </w:pPr>
      <w:r>
        <w:rPr>
          <w:color w:val="444444"/>
        </w:rPr>
        <w:t>(4) Any person who has not furnished a return within the time allowed to him under sub-section (1), or within the time allowed under a notice issued under sub-section (1) of</w:t>
      </w:r>
      <w:r>
        <w:rPr>
          <w:rStyle w:val="apple-converted-space"/>
          <w:color w:val="444444"/>
        </w:rPr>
        <w:t> </w:t>
      </w:r>
      <w:hyperlink r:id="rId38" w:history="1">
        <w:r>
          <w:rPr>
            <w:rStyle w:val="Hyperlink"/>
            <w:color w:val="663399"/>
          </w:rPr>
          <w:t>section 142</w:t>
        </w:r>
      </w:hyperlink>
      <w:r>
        <w:rPr>
          <w:color w:val="444444"/>
        </w:rPr>
        <w:t>, may furnish the return for any previous year at any time before the expiry of one year from the end of the relevant assessment year or before the completion of the assessment, whichever is earlier:</w:t>
      </w:r>
    </w:p>
    <w:p w:rsidR="00480514" w:rsidRDefault="00480514" w:rsidP="00480514">
      <w:pPr>
        <w:pStyle w:val="tx"/>
        <w:shd w:val="clear" w:color="auto" w:fill="FFFFFF"/>
        <w:spacing w:before="0" w:beforeAutospacing="0" w:after="80" w:afterAutospacing="0"/>
        <w:jc w:val="both"/>
        <w:rPr>
          <w:color w:val="444444"/>
        </w:rPr>
      </w:pPr>
      <w:r>
        <w:rPr>
          <w:b/>
          <w:bCs/>
          <w:color w:val="444444"/>
        </w:rPr>
        <w:lastRenderedPageBreak/>
        <w:t>Provided</w:t>
      </w:r>
      <w:r>
        <w:rPr>
          <w:rStyle w:val="apple-converted-space"/>
          <w:color w:val="444444"/>
        </w:rPr>
        <w:t> </w:t>
      </w:r>
      <w:r>
        <w:rPr>
          <w:color w:val="444444"/>
        </w:rPr>
        <w:t>that where the return relates to a previous year relevant to the assessment year commencing on the 1st day of April, 1988, or any earlier assessment year, the reference to one year aforesaid shall be construed as a reference to two years from the end of the relevant assessment year.</w:t>
      </w:r>
    </w:p>
    <w:p w:rsidR="00480514" w:rsidRDefault="00480514" w:rsidP="00480514">
      <w:pPr>
        <w:pStyle w:val="tx"/>
        <w:shd w:val="clear" w:color="auto" w:fill="FFFFFF"/>
        <w:spacing w:before="0" w:beforeAutospacing="0" w:after="80" w:afterAutospacing="0"/>
        <w:jc w:val="both"/>
        <w:rPr>
          <w:color w:val="444444"/>
        </w:rPr>
      </w:pPr>
      <w:r>
        <w:rPr>
          <w:b/>
          <w:bCs/>
          <w:color w:val="444444"/>
        </w:rPr>
        <w:t>Following sub-section (4) shall be substituted for the existing sub-section (4) of section 139 by the Finance Act, 2016, w.e.f. 1-4-2017:</w:t>
      </w:r>
    </w:p>
    <w:p w:rsidR="00480514" w:rsidRDefault="00480514" w:rsidP="00480514">
      <w:pPr>
        <w:pStyle w:val="tx"/>
        <w:shd w:val="clear" w:color="auto" w:fill="FFFFFF"/>
        <w:spacing w:before="0" w:beforeAutospacing="0" w:after="80" w:afterAutospacing="0"/>
        <w:jc w:val="both"/>
        <w:rPr>
          <w:color w:val="444444"/>
        </w:rPr>
      </w:pPr>
      <w:r>
        <w:rPr>
          <w:i/>
          <w:iCs/>
          <w:color w:val="444444"/>
        </w:rPr>
        <w:t>(4) Any person who has not furnished a return within the time allowed to him under sub-section (1), may furnish the return for any previous year at any time before the end of the relevant assessment year or before the completion of the assessment, whichever is earlier.</w:t>
      </w:r>
    </w:p>
    <w:p w:rsidR="00480514" w:rsidRDefault="00480514" w:rsidP="00480514">
      <w:pPr>
        <w:pStyle w:val="tx"/>
        <w:shd w:val="clear" w:color="auto" w:fill="FFFFFF"/>
        <w:spacing w:before="0" w:beforeAutospacing="0" w:after="80" w:afterAutospacing="0"/>
        <w:jc w:val="both"/>
        <w:rPr>
          <w:color w:val="444444"/>
        </w:rPr>
      </w:pPr>
      <w:r>
        <w:rPr>
          <w:color w:val="444444"/>
        </w:rPr>
        <w:t>(4A)</w:t>
      </w:r>
      <w:r>
        <w:rPr>
          <w:rStyle w:val="apple-converted-space"/>
          <w:color w:val="444444"/>
        </w:rPr>
        <w:t> </w:t>
      </w:r>
      <w:hyperlink r:id="rId39" w:history="1">
        <w:r>
          <w:rPr>
            <w:rStyle w:val="Hyperlink"/>
            <w:color w:val="663399"/>
            <w:vertAlign w:val="superscript"/>
          </w:rPr>
          <w:t>6</w:t>
        </w:r>
      </w:hyperlink>
      <w:r>
        <w:rPr>
          <w:color w:val="444444"/>
        </w:rPr>
        <w:t>Every person in receipt of income derived from property held under trust or other legal obligation wholly for charitable or religious purposes or in part only for such purposes, or of income being voluntary contributions referred to in sub-clause (</w:t>
      </w:r>
      <w:r>
        <w:rPr>
          <w:i/>
          <w:iCs/>
          <w:color w:val="444444"/>
        </w:rPr>
        <w:t>iia</w:t>
      </w:r>
      <w:r>
        <w:rPr>
          <w:color w:val="444444"/>
        </w:rPr>
        <w:t>) of clause (</w:t>
      </w:r>
      <w:r>
        <w:rPr>
          <w:i/>
          <w:iCs/>
          <w:color w:val="444444"/>
        </w:rPr>
        <w:t>24</w:t>
      </w:r>
      <w:r>
        <w:rPr>
          <w:color w:val="444444"/>
        </w:rPr>
        <w:t>) of</w:t>
      </w:r>
      <w:r>
        <w:rPr>
          <w:rStyle w:val="apple-converted-space"/>
          <w:color w:val="444444"/>
        </w:rPr>
        <w:t> </w:t>
      </w:r>
      <w:hyperlink r:id="rId40" w:history="1">
        <w:r>
          <w:rPr>
            <w:rStyle w:val="Hyperlink"/>
            <w:color w:val="663399"/>
          </w:rPr>
          <w:t>section 2</w:t>
        </w:r>
      </w:hyperlink>
      <w:r>
        <w:rPr>
          <w:color w:val="444444"/>
        </w:rPr>
        <w:t>, shall, if the total income in respect of which he is assessable as a representative assessee (the total income for this purpose being computed under this Act without giving effect to the provisions of</w:t>
      </w:r>
      <w:r>
        <w:rPr>
          <w:rStyle w:val="apple-converted-space"/>
          <w:color w:val="444444"/>
        </w:rPr>
        <w:t> </w:t>
      </w:r>
      <w:hyperlink r:id="rId41" w:history="1">
        <w:r>
          <w:rPr>
            <w:rStyle w:val="Hyperlink"/>
            <w:color w:val="663399"/>
          </w:rPr>
          <w:t>sections 11</w:t>
        </w:r>
      </w:hyperlink>
      <w:r>
        <w:rPr>
          <w:rStyle w:val="apple-converted-space"/>
          <w:color w:val="444444"/>
        </w:rPr>
        <w:t> </w:t>
      </w:r>
      <w:r>
        <w:rPr>
          <w:color w:val="444444"/>
        </w:rPr>
        <w:t>and</w:t>
      </w:r>
      <w:r>
        <w:rPr>
          <w:rStyle w:val="apple-converted-space"/>
          <w:color w:val="444444"/>
        </w:rPr>
        <w:t> </w:t>
      </w:r>
      <w:hyperlink r:id="rId42" w:history="1">
        <w:r>
          <w:rPr>
            <w:rStyle w:val="Hyperlink"/>
            <w:color w:val="663399"/>
          </w:rPr>
          <w:t>12</w:t>
        </w:r>
      </w:hyperlink>
      <w:r>
        <w:rPr>
          <w:color w:val="444444"/>
        </w:rPr>
        <w:t>) exceeds the maximum amount which is not chargeable to income-tax, furnish a return of such income of the previous year in the prescribed form and verified in the prescribed manner and setting forth such other particulars as may be prescribed and all the provisions of this Act shall, so far as may be, apply as if it were a return required to be furnished under sub-section (1).</w:t>
      </w:r>
    </w:p>
    <w:p w:rsidR="00480514" w:rsidRDefault="00480514" w:rsidP="00480514">
      <w:pPr>
        <w:pStyle w:val="tx"/>
        <w:shd w:val="clear" w:color="auto" w:fill="FFFFFF"/>
        <w:spacing w:before="0" w:beforeAutospacing="0" w:after="80" w:afterAutospacing="0"/>
        <w:jc w:val="both"/>
        <w:rPr>
          <w:color w:val="444444"/>
        </w:rPr>
      </w:pPr>
      <w:r>
        <w:rPr>
          <w:color w:val="444444"/>
        </w:rPr>
        <w:t>(4B)</w:t>
      </w:r>
      <w:r>
        <w:rPr>
          <w:rStyle w:val="apple-converted-space"/>
          <w:color w:val="444444"/>
        </w:rPr>
        <w:t> </w:t>
      </w:r>
      <w:hyperlink r:id="rId43" w:history="1">
        <w:r>
          <w:rPr>
            <w:rStyle w:val="Hyperlink"/>
            <w:color w:val="663399"/>
            <w:vertAlign w:val="superscript"/>
          </w:rPr>
          <w:t>7</w:t>
        </w:r>
      </w:hyperlink>
      <w:r>
        <w:rPr>
          <w:color w:val="444444"/>
        </w:rPr>
        <w:t>The chief executive officer (whether such chief executive officer is known as Secretary or by any other designation) of every political party shall, if the total income in respect of which the political party is assessable (the total income for this purpose being computed under this Act without giving effect to the provisions of</w:t>
      </w:r>
      <w:r>
        <w:rPr>
          <w:rStyle w:val="apple-converted-space"/>
          <w:color w:val="444444"/>
        </w:rPr>
        <w:t> </w:t>
      </w:r>
      <w:hyperlink r:id="rId44" w:history="1">
        <w:r>
          <w:rPr>
            <w:rStyle w:val="Hyperlink"/>
            <w:color w:val="663399"/>
          </w:rPr>
          <w:t>section 13A</w:t>
        </w:r>
      </w:hyperlink>
      <w:r>
        <w:rPr>
          <w:color w:val="444444"/>
        </w:rPr>
        <w:t>) exceeds the maximum amount which is not chargeable to income-tax, furnish a return of such income of the previous year in the prescribed form and verified in the prescribed manner and setting forth such other particulars as may be prescribed and all the provisions of this Act, shall, so far as may be, apply as if it were a return required to be furnished under sub-section (1).</w:t>
      </w:r>
    </w:p>
    <w:p w:rsidR="00480514" w:rsidRDefault="00480514" w:rsidP="00480514">
      <w:pPr>
        <w:pStyle w:val="tx"/>
        <w:shd w:val="clear" w:color="auto" w:fill="FFFFFF"/>
        <w:spacing w:before="0" w:beforeAutospacing="0" w:after="80" w:afterAutospacing="0"/>
        <w:jc w:val="both"/>
        <w:rPr>
          <w:color w:val="444444"/>
        </w:rPr>
      </w:pPr>
      <w:r>
        <w:rPr>
          <w:color w:val="444444"/>
        </w:rPr>
        <w:t>(4C) Every—</w:t>
      </w:r>
    </w:p>
    <w:p w:rsidR="00480514" w:rsidRDefault="00480514" w:rsidP="00480514">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a</w:t>
      </w:r>
      <w:r>
        <w:rPr>
          <w:color w:val="444444"/>
        </w:rPr>
        <w:t xml:space="preserve">) </w:t>
      </w:r>
      <w:proofErr w:type="gramStart"/>
      <w:r>
        <w:rPr>
          <w:color w:val="444444"/>
        </w:rPr>
        <w:t>research</w:t>
      </w:r>
      <w:proofErr w:type="gramEnd"/>
      <w:r>
        <w:rPr>
          <w:color w:val="444444"/>
        </w:rPr>
        <w:t xml:space="preserve"> association referred to in clause (</w:t>
      </w:r>
      <w:r>
        <w:rPr>
          <w:i/>
          <w:iCs/>
          <w:color w:val="444444"/>
        </w:rPr>
        <w:t>21</w:t>
      </w:r>
      <w:r>
        <w:rPr>
          <w:color w:val="444444"/>
        </w:rPr>
        <w:t>) of</w:t>
      </w:r>
      <w:r>
        <w:rPr>
          <w:rStyle w:val="apple-converted-space"/>
          <w:color w:val="444444"/>
        </w:rPr>
        <w:t> </w:t>
      </w:r>
      <w:hyperlink r:id="rId45" w:history="1">
        <w:r>
          <w:rPr>
            <w:rStyle w:val="Hyperlink"/>
            <w:color w:val="663399"/>
          </w:rPr>
          <w:t>section 10</w:t>
        </w:r>
      </w:hyperlink>
      <w:r>
        <w:rPr>
          <w:color w:val="444444"/>
        </w:rPr>
        <w:t>;</w:t>
      </w:r>
    </w:p>
    <w:p w:rsidR="00480514" w:rsidRDefault="00480514" w:rsidP="00480514">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b</w:t>
      </w:r>
      <w:r>
        <w:rPr>
          <w:color w:val="444444"/>
        </w:rPr>
        <w:t xml:space="preserve">) </w:t>
      </w:r>
      <w:proofErr w:type="gramStart"/>
      <w:r>
        <w:rPr>
          <w:color w:val="444444"/>
        </w:rPr>
        <w:t>news</w:t>
      </w:r>
      <w:proofErr w:type="gramEnd"/>
      <w:r>
        <w:rPr>
          <w:color w:val="444444"/>
        </w:rPr>
        <w:t xml:space="preserve"> agency referred to in clause (</w:t>
      </w:r>
      <w:r>
        <w:rPr>
          <w:i/>
          <w:iCs/>
          <w:color w:val="444444"/>
        </w:rPr>
        <w:t>22B</w:t>
      </w:r>
      <w:r>
        <w:rPr>
          <w:color w:val="444444"/>
        </w:rPr>
        <w:t>) of</w:t>
      </w:r>
      <w:r>
        <w:rPr>
          <w:rStyle w:val="apple-converted-space"/>
          <w:color w:val="444444"/>
        </w:rPr>
        <w:t> </w:t>
      </w:r>
      <w:hyperlink r:id="rId46" w:history="1">
        <w:r>
          <w:rPr>
            <w:rStyle w:val="Hyperlink"/>
            <w:color w:val="663399"/>
          </w:rPr>
          <w:t>section 10</w:t>
        </w:r>
      </w:hyperlink>
      <w:r>
        <w:rPr>
          <w:color w:val="444444"/>
        </w:rPr>
        <w:t>;</w:t>
      </w:r>
    </w:p>
    <w:p w:rsidR="00480514" w:rsidRDefault="00480514" w:rsidP="00480514">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c</w:t>
      </w:r>
      <w:r>
        <w:rPr>
          <w:color w:val="444444"/>
        </w:rPr>
        <w:t xml:space="preserve">) </w:t>
      </w:r>
      <w:proofErr w:type="gramStart"/>
      <w:r>
        <w:rPr>
          <w:color w:val="444444"/>
        </w:rPr>
        <w:t>association</w:t>
      </w:r>
      <w:proofErr w:type="gramEnd"/>
      <w:r>
        <w:rPr>
          <w:color w:val="444444"/>
        </w:rPr>
        <w:t xml:space="preserve"> or institution referred to in clause (</w:t>
      </w:r>
      <w:r>
        <w:rPr>
          <w:i/>
          <w:iCs/>
          <w:color w:val="444444"/>
        </w:rPr>
        <w:t>23A</w:t>
      </w:r>
      <w:r>
        <w:rPr>
          <w:color w:val="444444"/>
        </w:rPr>
        <w:t>) of</w:t>
      </w:r>
      <w:r>
        <w:rPr>
          <w:rStyle w:val="apple-converted-space"/>
          <w:color w:val="444444"/>
        </w:rPr>
        <w:t> </w:t>
      </w:r>
      <w:hyperlink r:id="rId47" w:history="1">
        <w:r>
          <w:rPr>
            <w:rStyle w:val="Hyperlink"/>
            <w:color w:val="663399"/>
          </w:rPr>
          <w:t>section 10</w:t>
        </w:r>
      </w:hyperlink>
      <w:r>
        <w:rPr>
          <w:color w:val="444444"/>
        </w:rPr>
        <w:t>;</w:t>
      </w:r>
    </w:p>
    <w:p w:rsidR="00480514" w:rsidRDefault="00480514" w:rsidP="00480514">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d</w:t>
      </w:r>
      <w:r>
        <w:rPr>
          <w:color w:val="444444"/>
        </w:rPr>
        <w:t xml:space="preserve">) </w:t>
      </w:r>
      <w:proofErr w:type="gramStart"/>
      <w:r>
        <w:rPr>
          <w:color w:val="444444"/>
        </w:rPr>
        <w:t>institution</w:t>
      </w:r>
      <w:proofErr w:type="gramEnd"/>
      <w:r>
        <w:rPr>
          <w:color w:val="444444"/>
        </w:rPr>
        <w:t xml:space="preserve"> referred to in clause (</w:t>
      </w:r>
      <w:r>
        <w:rPr>
          <w:i/>
          <w:iCs/>
          <w:color w:val="444444"/>
        </w:rPr>
        <w:t>23B</w:t>
      </w:r>
      <w:r>
        <w:rPr>
          <w:color w:val="444444"/>
        </w:rPr>
        <w:t>) of</w:t>
      </w:r>
      <w:r>
        <w:rPr>
          <w:rStyle w:val="apple-converted-space"/>
          <w:color w:val="444444"/>
        </w:rPr>
        <w:t> </w:t>
      </w:r>
      <w:hyperlink r:id="rId48" w:history="1">
        <w:r>
          <w:rPr>
            <w:rStyle w:val="Hyperlink"/>
            <w:color w:val="663399"/>
          </w:rPr>
          <w:t>section 10</w:t>
        </w:r>
      </w:hyperlink>
      <w:r>
        <w:rPr>
          <w:color w:val="444444"/>
        </w:rPr>
        <w:t>;</w:t>
      </w:r>
    </w:p>
    <w:p w:rsidR="00480514" w:rsidRDefault="00480514" w:rsidP="00480514">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e</w:t>
      </w:r>
      <w:r>
        <w:rPr>
          <w:color w:val="444444"/>
        </w:rPr>
        <w:t>) fund or institution referred to in sub-clause (</w:t>
      </w:r>
      <w:r>
        <w:rPr>
          <w:i/>
          <w:iCs/>
          <w:color w:val="444444"/>
        </w:rPr>
        <w:t>iv</w:t>
      </w:r>
      <w:r>
        <w:rPr>
          <w:color w:val="444444"/>
        </w:rPr>
        <w:t>) or trust or institution referred to in sub-clause (</w:t>
      </w:r>
      <w:r>
        <w:rPr>
          <w:i/>
          <w:iCs/>
          <w:color w:val="444444"/>
        </w:rPr>
        <w:t>v</w:t>
      </w:r>
      <w:r>
        <w:rPr>
          <w:color w:val="444444"/>
        </w:rPr>
        <w:t>) or any university or other educational institution referred to in</w:t>
      </w:r>
      <w:r>
        <w:rPr>
          <w:rStyle w:val="apple-converted-space"/>
          <w:color w:val="444444"/>
        </w:rPr>
        <w:t> </w:t>
      </w:r>
      <w:hyperlink r:id="rId49" w:history="1">
        <w:r>
          <w:rPr>
            <w:rStyle w:val="Hyperlink"/>
            <w:color w:val="663399"/>
            <w:vertAlign w:val="superscript"/>
          </w:rPr>
          <w:t>8</w:t>
        </w:r>
      </w:hyperlink>
      <w:r>
        <w:rPr>
          <w:color w:val="444444"/>
        </w:rPr>
        <w:t>[</w:t>
      </w:r>
      <w:r>
        <w:rPr>
          <w:i/>
          <w:iCs/>
          <w:color w:val="444444"/>
        </w:rPr>
        <w:t>sub-clause (</w:t>
      </w:r>
      <w:r>
        <w:rPr>
          <w:color w:val="444444"/>
        </w:rPr>
        <w:t>iiiab</w:t>
      </w:r>
      <w:r>
        <w:rPr>
          <w:i/>
          <w:iCs/>
          <w:color w:val="444444"/>
        </w:rPr>
        <w:t>)</w:t>
      </w:r>
      <w:r>
        <w:rPr>
          <w:color w:val="444444"/>
        </w:rPr>
        <w:t>]</w:t>
      </w:r>
      <w:r>
        <w:rPr>
          <w:rStyle w:val="apple-converted-space"/>
          <w:i/>
          <w:iCs/>
          <w:color w:val="444444"/>
        </w:rPr>
        <w:t> </w:t>
      </w:r>
      <w:r>
        <w:rPr>
          <w:i/>
          <w:iCs/>
          <w:color w:val="444444"/>
        </w:rPr>
        <w:t>or</w:t>
      </w:r>
      <w:r>
        <w:rPr>
          <w:rStyle w:val="apple-converted-space"/>
          <w:color w:val="444444"/>
        </w:rPr>
        <w:t> </w:t>
      </w:r>
      <w:r>
        <w:rPr>
          <w:color w:val="444444"/>
        </w:rPr>
        <w:t>sub-clause (</w:t>
      </w:r>
      <w:r>
        <w:rPr>
          <w:i/>
          <w:iCs/>
          <w:color w:val="444444"/>
        </w:rPr>
        <w:t>iiiad</w:t>
      </w:r>
      <w:r>
        <w:rPr>
          <w:color w:val="444444"/>
        </w:rPr>
        <w:t>) or sub-clause (</w:t>
      </w:r>
      <w:r>
        <w:rPr>
          <w:i/>
          <w:iCs/>
          <w:color w:val="444444"/>
        </w:rPr>
        <w:t>vi</w:t>
      </w:r>
      <w:r>
        <w:rPr>
          <w:color w:val="444444"/>
        </w:rPr>
        <w:t>) or any hospital or other medical institution referred to in</w:t>
      </w:r>
      <w:r>
        <w:rPr>
          <w:rStyle w:val="apple-converted-space"/>
          <w:color w:val="444444"/>
        </w:rPr>
        <w:t> </w:t>
      </w:r>
      <w:hyperlink r:id="rId50" w:history="1">
        <w:r>
          <w:rPr>
            <w:rStyle w:val="Hyperlink"/>
            <w:color w:val="663399"/>
            <w:vertAlign w:val="superscript"/>
          </w:rPr>
          <w:t>8</w:t>
        </w:r>
      </w:hyperlink>
      <w:r>
        <w:rPr>
          <w:color w:val="444444"/>
        </w:rPr>
        <w:t>[</w:t>
      </w:r>
      <w:r>
        <w:rPr>
          <w:i/>
          <w:iCs/>
          <w:color w:val="444444"/>
        </w:rPr>
        <w:t>sub-clause (</w:t>
      </w:r>
      <w:r>
        <w:rPr>
          <w:color w:val="444444"/>
        </w:rPr>
        <w:t>iiiac</w:t>
      </w:r>
      <w:r>
        <w:rPr>
          <w:i/>
          <w:iCs/>
          <w:color w:val="444444"/>
        </w:rPr>
        <w:t>) or</w:t>
      </w:r>
      <w:r>
        <w:rPr>
          <w:color w:val="444444"/>
        </w:rPr>
        <w:t>] sub-clause (</w:t>
      </w:r>
      <w:r>
        <w:rPr>
          <w:i/>
          <w:iCs/>
          <w:color w:val="444444"/>
        </w:rPr>
        <w:t>iiiae</w:t>
      </w:r>
      <w:r>
        <w:rPr>
          <w:color w:val="444444"/>
        </w:rPr>
        <w:t>) or sub-clause (</w:t>
      </w:r>
      <w:r>
        <w:rPr>
          <w:i/>
          <w:iCs/>
          <w:color w:val="444444"/>
        </w:rPr>
        <w:t>via</w:t>
      </w:r>
      <w:r>
        <w:rPr>
          <w:color w:val="444444"/>
        </w:rPr>
        <w:t>) of clause (</w:t>
      </w:r>
      <w:r>
        <w:rPr>
          <w:i/>
          <w:iCs/>
          <w:color w:val="444444"/>
        </w:rPr>
        <w:t>23C</w:t>
      </w:r>
      <w:r>
        <w:rPr>
          <w:color w:val="444444"/>
        </w:rPr>
        <w:t>) of</w:t>
      </w:r>
      <w:r>
        <w:rPr>
          <w:rStyle w:val="apple-converted-space"/>
          <w:color w:val="444444"/>
        </w:rPr>
        <w:t> </w:t>
      </w:r>
      <w:hyperlink r:id="rId51" w:history="1">
        <w:r>
          <w:rPr>
            <w:rStyle w:val="Hyperlink"/>
            <w:color w:val="663399"/>
          </w:rPr>
          <w:t>section 10</w:t>
        </w:r>
      </w:hyperlink>
      <w:r>
        <w:rPr>
          <w:color w:val="444444"/>
        </w:rPr>
        <w:t>;</w:t>
      </w:r>
    </w:p>
    <w:p w:rsidR="00480514" w:rsidRDefault="00480514" w:rsidP="00480514">
      <w:pPr>
        <w:pStyle w:val="indent1"/>
        <w:shd w:val="clear" w:color="auto" w:fill="FFFFFF"/>
        <w:spacing w:before="0" w:beforeAutospacing="0" w:after="80" w:afterAutospacing="0"/>
        <w:ind w:left="567" w:hanging="567"/>
        <w:jc w:val="both"/>
        <w:rPr>
          <w:color w:val="444444"/>
        </w:rPr>
      </w:pPr>
      <w:hyperlink r:id="rId52" w:history="1">
        <w:r>
          <w:rPr>
            <w:rStyle w:val="Hyperlink"/>
            <w:color w:val="663399"/>
            <w:vertAlign w:val="superscript"/>
          </w:rPr>
          <w:t>9</w:t>
        </w:r>
      </w:hyperlink>
      <w:r>
        <w:rPr>
          <w:color w:val="444444"/>
        </w:rPr>
        <w:t>[(</w:t>
      </w:r>
      <w:r>
        <w:rPr>
          <w:i/>
          <w:iCs/>
          <w:color w:val="444444"/>
        </w:rPr>
        <w:t>ea</w:t>
      </w:r>
      <w:r>
        <w:rPr>
          <w:color w:val="444444"/>
        </w:rPr>
        <w:t>) Mutual Fund referred to in clause (</w:t>
      </w:r>
      <w:r>
        <w:rPr>
          <w:i/>
          <w:iCs/>
          <w:color w:val="444444"/>
        </w:rPr>
        <w:t>23D</w:t>
      </w:r>
      <w:r>
        <w:rPr>
          <w:color w:val="444444"/>
        </w:rPr>
        <w:t>) of</w:t>
      </w:r>
      <w:r>
        <w:rPr>
          <w:rStyle w:val="apple-converted-space"/>
          <w:color w:val="444444"/>
        </w:rPr>
        <w:t> </w:t>
      </w:r>
      <w:hyperlink r:id="rId53" w:history="1">
        <w:r>
          <w:rPr>
            <w:rStyle w:val="Hyperlink"/>
            <w:color w:val="663399"/>
          </w:rPr>
          <w:t>section 10</w:t>
        </w:r>
      </w:hyperlink>
      <w:r>
        <w:rPr>
          <w:color w:val="444444"/>
        </w:rPr>
        <w:t>;</w:t>
      </w:r>
    </w:p>
    <w:p w:rsidR="00480514" w:rsidRDefault="00480514" w:rsidP="00480514">
      <w:pPr>
        <w:pStyle w:val="indent1"/>
        <w:shd w:val="clear" w:color="auto" w:fill="FFFFFF"/>
        <w:spacing w:before="0" w:beforeAutospacing="0" w:after="80" w:afterAutospacing="0"/>
        <w:ind w:left="567" w:hanging="397"/>
        <w:jc w:val="both"/>
        <w:rPr>
          <w:color w:val="444444"/>
        </w:rPr>
      </w:pPr>
      <w:r>
        <w:rPr>
          <w:color w:val="444444"/>
        </w:rPr>
        <w:t>(</w:t>
      </w:r>
      <w:proofErr w:type="gramStart"/>
      <w:r>
        <w:rPr>
          <w:i/>
          <w:iCs/>
          <w:color w:val="444444"/>
        </w:rPr>
        <w:t>eb</w:t>
      </w:r>
      <w:proofErr w:type="gramEnd"/>
      <w:r>
        <w:rPr>
          <w:color w:val="444444"/>
        </w:rPr>
        <w:t>) securitisation trust referred to in clause (</w:t>
      </w:r>
      <w:r>
        <w:rPr>
          <w:i/>
          <w:iCs/>
          <w:color w:val="444444"/>
        </w:rPr>
        <w:t>23DA</w:t>
      </w:r>
      <w:r>
        <w:rPr>
          <w:color w:val="444444"/>
        </w:rPr>
        <w:t>) of</w:t>
      </w:r>
      <w:r>
        <w:rPr>
          <w:rStyle w:val="apple-converted-space"/>
          <w:color w:val="444444"/>
        </w:rPr>
        <w:t> </w:t>
      </w:r>
      <w:hyperlink r:id="rId54" w:history="1">
        <w:r>
          <w:rPr>
            <w:rStyle w:val="Hyperlink"/>
            <w:color w:val="663399"/>
          </w:rPr>
          <w:t>section 10</w:t>
        </w:r>
      </w:hyperlink>
      <w:r>
        <w:rPr>
          <w:color w:val="444444"/>
        </w:rPr>
        <w:t>;</w:t>
      </w:r>
    </w:p>
    <w:p w:rsidR="00480514" w:rsidRDefault="00480514" w:rsidP="00480514">
      <w:pPr>
        <w:pStyle w:val="indent1"/>
        <w:shd w:val="clear" w:color="auto" w:fill="FFFFFF"/>
        <w:spacing w:before="0" w:beforeAutospacing="0" w:after="80" w:afterAutospacing="0"/>
        <w:ind w:left="567" w:hanging="397"/>
        <w:jc w:val="both"/>
        <w:rPr>
          <w:color w:val="444444"/>
        </w:rPr>
      </w:pPr>
      <w:r>
        <w:rPr>
          <w:color w:val="444444"/>
        </w:rPr>
        <w:lastRenderedPageBreak/>
        <w:t>(</w:t>
      </w:r>
      <w:proofErr w:type="gramStart"/>
      <w:r>
        <w:rPr>
          <w:i/>
          <w:iCs/>
          <w:color w:val="444444"/>
        </w:rPr>
        <w:t>ec</w:t>
      </w:r>
      <w:proofErr w:type="gramEnd"/>
      <w:r>
        <w:rPr>
          <w:color w:val="444444"/>
        </w:rPr>
        <w:t>) venture capital Company or venture capital fund referred to in clause (</w:t>
      </w:r>
      <w:r>
        <w:rPr>
          <w:i/>
          <w:iCs/>
          <w:color w:val="444444"/>
        </w:rPr>
        <w:t>23FB</w:t>
      </w:r>
      <w:r>
        <w:rPr>
          <w:color w:val="444444"/>
        </w:rPr>
        <w:t>) of</w:t>
      </w:r>
      <w:r>
        <w:rPr>
          <w:rStyle w:val="apple-converted-space"/>
          <w:color w:val="444444"/>
        </w:rPr>
        <w:t> </w:t>
      </w:r>
      <w:hyperlink r:id="rId55" w:history="1">
        <w:r>
          <w:rPr>
            <w:rStyle w:val="Hyperlink"/>
            <w:color w:val="663399"/>
          </w:rPr>
          <w:t>section 10</w:t>
        </w:r>
      </w:hyperlink>
      <w:r>
        <w:rPr>
          <w:color w:val="444444"/>
        </w:rPr>
        <w:t>;]</w:t>
      </w:r>
    </w:p>
    <w:p w:rsidR="00480514" w:rsidRDefault="00480514" w:rsidP="00480514">
      <w:pPr>
        <w:pStyle w:val="indent1"/>
        <w:shd w:val="clear" w:color="auto" w:fill="FFFFFF"/>
        <w:spacing w:before="0" w:beforeAutospacing="0" w:after="80" w:afterAutospacing="0"/>
        <w:ind w:left="567" w:hanging="397"/>
        <w:jc w:val="both"/>
        <w:rPr>
          <w:color w:val="444444"/>
        </w:rPr>
      </w:pPr>
      <w:r>
        <w:rPr>
          <w:color w:val="444444"/>
        </w:rPr>
        <w:t>(</w:t>
      </w:r>
      <w:proofErr w:type="gramStart"/>
      <w:r>
        <w:rPr>
          <w:i/>
          <w:iCs/>
          <w:color w:val="444444"/>
        </w:rPr>
        <w:t>f</w:t>
      </w:r>
      <w:proofErr w:type="gramEnd"/>
      <w:r>
        <w:rPr>
          <w:color w:val="444444"/>
        </w:rPr>
        <w:t>) trade union referred to in sub-clause (</w:t>
      </w:r>
      <w:r>
        <w:rPr>
          <w:i/>
          <w:iCs/>
          <w:color w:val="444444"/>
        </w:rPr>
        <w:t>a</w:t>
      </w:r>
      <w:r>
        <w:rPr>
          <w:color w:val="444444"/>
        </w:rPr>
        <w:t>) or association referred to in sub-clause (</w:t>
      </w:r>
      <w:r>
        <w:rPr>
          <w:i/>
          <w:iCs/>
          <w:color w:val="444444"/>
        </w:rPr>
        <w:t>b</w:t>
      </w:r>
      <w:r>
        <w:rPr>
          <w:color w:val="444444"/>
        </w:rPr>
        <w:t>) of clause (</w:t>
      </w:r>
      <w:r>
        <w:rPr>
          <w:i/>
          <w:iCs/>
          <w:color w:val="444444"/>
        </w:rPr>
        <w:t>24</w:t>
      </w:r>
      <w:r>
        <w:rPr>
          <w:color w:val="444444"/>
        </w:rPr>
        <w:t>) of</w:t>
      </w:r>
      <w:r>
        <w:rPr>
          <w:rStyle w:val="apple-converted-space"/>
          <w:color w:val="444444"/>
        </w:rPr>
        <w:t> </w:t>
      </w:r>
      <w:hyperlink r:id="rId56" w:history="1">
        <w:r>
          <w:rPr>
            <w:rStyle w:val="Hyperlink"/>
            <w:color w:val="663399"/>
          </w:rPr>
          <w:t>section 10</w:t>
        </w:r>
      </w:hyperlink>
      <w:r>
        <w:rPr>
          <w:color w:val="444444"/>
        </w:rPr>
        <w:t>;</w:t>
      </w:r>
    </w:p>
    <w:p w:rsidR="00480514" w:rsidRDefault="00480514" w:rsidP="00480514">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g</w:t>
      </w:r>
      <w:r>
        <w:rPr>
          <w:color w:val="444444"/>
        </w:rPr>
        <w:t xml:space="preserve">) </w:t>
      </w:r>
      <w:proofErr w:type="gramStart"/>
      <w:r>
        <w:rPr>
          <w:color w:val="444444"/>
        </w:rPr>
        <w:t>body</w:t>
      </w:r>
      <w:proofErr w:type="gramEnd"/>
      <w:r>
        <w:rPr>
          <w:color w:val="444444"/>
        </w:rPr>
        <w:t xml:space="preserve"> or authority or Board or Trust or Commission (by whatever name called) referred to in clause (</w:t>
      </w:r>
      <w:r>
        <w:rPr>
          <w:i/>
          <w:iCs/>
          <w:color w:val="444444"/>
        </w:rPr>
        <w:t>46</w:t>
      </w:r>
      <w:r>
        <w:rPr>
          <w:color w:val="444444"/>
        </w:rPr>
        <w:t>) of</w:t>
      </w:r>
      <w:r>
        <w:rPr>
          <w:rStyle w:val="apple-converted-space"/>
          <w:color w:val="444444"/>
        </w:rPr>
        <w:t> </w:t>
      </w:r>
      <w:hyperlink r:id="rId57" w:history="1">
        <w:r>
          <w:rPr>
            <w:rStyle w:val="Hyperlink"/>
            <w:color w:val="663399"/>
          </w:rPr>
          <w:t>section 10</w:t>
        </w:r>
      </w:hyperlink>
      <w:r>
        <w:rPr>
          <w:color w:val="444444"/>
        </w:rPr>
        <w:t>;</w:t>
      </w:r>
    </w:p>
    <w:p w:rsidR="00480514" w:rsidRDefault="00480514" w:rsidP="00480514">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h</w:t>
      </w:r>
      <w:r>
        <w:rPr>
          <w:color w:val="444444"/>
        </w:rPr>
        <w:t>) Infrastructure debt fund referred to in clause (</w:t>
      </w:r>
      <w:r>
        <w:rPr>
          <w:i/>
          <w:iCs/>
          <w:color w:val="444444"/>
        </w:rPr>
        <w:t>47</w:t>
      </w:r>
      <w:r>
        <w:rPr>
          <w:color w:val="444444"/>
        </w:rPr>
        <w:t>) of</w:t>
      </w:r>
      <w:r>
        <w:rPr>
          <w:rStyle w:val="apple-converted-space"/>
          <w:color w:val="444444"/>
        </w:rPr>
        <w:t> </w:t>
      </w:r>
      <w:hyperlink r:id="rId58" w:history="1">
        <w:r>
          <w:rPr>
            <w:rStyle w:val="Hyperlink"/>
            <w:color w:val="663399"/>
          </w:rPr>
          <w:t>section 10</w:t>
        </w:r>
      </w:hyperlink>
      <w:r>
        <w:rPr>
          <w:color w:val="444444"/>
        </w:rPr>
        <w:t>,</w:t>
      </w:r>
    </w:p>
    <w:p w:rsidR="00480514" w:rsidRDefault="00480514" w:rsidP="00480514">
      <w:pPr>
        <w:pStyle w:val="tx"/>
        <w:shd w:val="clear" w:color="auto" w:fill="FFFFFF"/>
        <w:spacing w:before="0" w:beforeAutospacing="0" w:after="80" w:afterAutospacing="0"/>
        <w:jc w:val="both"/>
        <w:rPr>
          <w:color w:val="444444"/>
        </w:rPr>
      </w:pPr>
      <w:r>
        <w:rPr>
          <w:color w:val="444444"/>
        </w:rPr>
        <w:t>shall, if the total income in respect of which such research association, news agency, association or institution, fund or trust or university or other educational institution or any hospital or other medical institution or trade union or body or authority or Board or Trust or Commission or infrastructure debt fund</w:t>
      </w:r>
      <w:r>
        <w:rPr>
          <w:rStyle w:val="apple-converted-space"/>
          <w:color w:val="444444"/>
        </w:rPr>
        <w:t> </w:t>
      </w:r>
      <w:hyperlink r:id="rId59" w:history="1">
        <w:r>
          <w:rPr>
            <w:rStyle w:val="Hyperlink"/>
            <w:color w:val="663399"/>
            <w:vertAlign w:val="superscript"/>
          </w:rPr>
          <w:t>9</w:t>
        </w:r>
      </w:hyperlink>
      <w:r>
        <w:rPr>
          <w:color w:val="444444"/>
        </w:rPr>
        <w:t>[or Mutual Fund or securitisation trust or venture capital company or venture capital fund] is assessable, without giving effect to the provisions of</w:t>
      </w:r>
      <w:r>
        <w:rPr>
          <w:rStyle w:val="apple-converted-space"/>
          <w:color w:val="444444"/>
        </w:rPr>
        <w:t> </w:t>
      </w:r>
      <w:hyperlink r:id="rId60" w:history="1">
        <w:r>
          <w:rPr>
            <w:rStyle w:val="Hyperlink"/>
            <w:color w:val="663399"/>
          </w:rPr>
          <w:t>section 10</w:t>
        </w:r>
      </w:hyperlink>
      <w:r>
        <w:rPr>
          <w:color w:val="444444"/>
        </w:rPr>
        <w:t>, exceeds the maximum amount which is not chargeable to income-tax, furnish a return of such income of the previous year in the prescribed form</w:t>
      </w:r>
      <w:hyperlink r:id="rId61" w:history="1">
        <w:r>
          <w:rPr>
            <w:rStyle w:val="Hyperlink"/>
            <w:color w:val="663399"/>
            <w:vertAlign w:val="superscript"/>
          </w:rPr>
          <w:t>10</w:t>
        </w:r>
      </w:hyperlink>
      <w:r>
        <w:rPr>
          <w:rStyle w:val="apple-converted-space"/>
          <w:color w:val="444444"/>
        </w:rPr>
        <w:t> </w:t>
      </w:r>
      <w:r>
        <w:rPr>
          <w:color w:val="444444"/>
        </w:rPr>
        <w:t>and verified in the prescribed manner and setting forth such other particulars as may be prescribed and all the provisions of this Act shall, so far as may be, apply as if it were a return required to be furnished under sub-section (1).</w:t>
      </w:r>
    </w:p>
    <w:p w:rsidR="00480514" w:rsidRDefault="00480514" w:rsidP="00480514">
      <w:pPr>
        <w:pStyle w:val="tx"/>
        <w:shd w:val="clear" w:color="auto" w:fill="FFFFFF"/>
        <w:spacing w:before="0" w:beforeAutospacing="0" w:after="80" w:afterAutospacing="0"/>
        <w:jc w:val="both"/>
        <w:rPr>
          <w:color w:val="444444"/>
        </w:rPr>
      </w:pPr>
      <w:r>
        <w:rPr>
          <w:color w:val="444444"/>
        </w:rPr>
        <w:t>(4D) Every university, college or other institution referred to in clause (</w:t>
      </w:r>
      <w:r>
        <w:rPr>
          <w:i/>
          <w:iCs/>
          <w:color w:val="444444"/>
        </w:rPr>
        <w:t>ii</w:t>
      </w:r>
      <w:r>
        <w:rPr>
          <w:color w:val="444444"/>
        </w:rPr>
        <w:t>) and clause (</w:t>
      </w:r>
      <w:r>
        <w:rPr>
          <w:i/>
          <w:iCs/>
          <w:color w:val="444444"/>
        </w:rPr>
        <w:t>iii</w:t>
      </w:r>
      <w:r>
        <w:rPr>
          <w:color w:val="444444"/>
        </w:rPr>
        <w:t>) of sub-section (1) of</w:t>
      </w:r>
      <w:r>
        <w:rPr>
          <w:rStyle w:val="apple-converted-space"/>
          <w:color w:val="444444"/>
        </w:rPr>
        <w:t> </w:t>
      </w:r>
      <w:hyperlink r:id="rId62" w:history="1">
        <w:r>
          <w:rPr>
            <w:rStyle w:val="Hyperlink"/>
            <w:color w:val="663399"/>
          </w:rPr>
          <w:t>section 35</w:t>
        </w:r>
      </w:hyperlink>
      <w:r>
        <w:rPr>
          <w:color w:val="444444"/>
        </w:rPr>
        <w:t>, which is not required to furnish return of income or loss under any other provision of this section, shall furnish the return in respect of its income or loss in every previous year and all the provisions of this Act shall, so far as may be, apply as if it were a return required to be furnished under sub-section (1).</w:t>
      </w:r>
    </w:p>
    <w:p w:rsidR="00480514" w:rsidRDefault="00480514" w:rsidP="00480514">
      <w:pPr>
        <w:pStyle w:val="tx"/>
        <w:shd w:val="clear" w:color="auto" w:fill="FFFFFF"/>
        <w:spacing w:before="0" w:beforeAutospacing="0" w:after="80" w:afterAutospacing="0"/>
        <w:jc w:val="both"/>
        <w:rPr>
          <w:color w:val="444444"/>
        </w:rPr>
      </w:pPr>
      <w:hyperlink r:id="rId63" w:history="1">
        <w:r>
          <w:rPr>
            <w:rStyle w:val="Hyperlink"/>
            <w:color w:val="663399"/>
            <w:vertAlign w:val="superscript"/>
          </w:rPr>
          <w:t>11</w:t>
        </w:r>
      </w:hyperlink>
      <w:r>
        <w:rPr>
          <w:color w:val="444444"/>
        </w:rPr>
        <w:t>[(4E) Every business trust, which is not required to furnish return of income or loss under any other provisions of this section, shall furnish the return of its income in respect of its income or loss in every previous year and all the provisions of this Act shall, so far as may be, apply</w:t>
      </w:r>
      <w:hyperlink r:id="rId64" w:history="1">
        <w:r>
          <w:rPr>
            <w:rStyle w:val="Hyperlink"/>
            <w:color w:val="663399"/>
          </w:rPr>
          <w:t>*</w:t>
        </w:r>
      </w:hyperlink>
      <w:r>
        <w:rPr>
          <w:rStyle w:val="apple-converted-space"/>
          <w:color w:val="444444"/>
        </w:rPr>
        <w:t> </w:t>
      </w:r>
      <w:r>
        <w:rPr>
          <w:color w:val="444444"/>
        </w:rPr>
        <w:t>if it were a return required to be furnished under sub-section (1).]</w:t>
      </w:r>
    </w:p>
    <w:p w:rsidR="00480514" w:rsidRDefault="00480514" w:rsidP="00480514">
      <w:pPr>
        <w:pStyle w:val="tx"/>
        <w:shd w:val="clear" w:color="auto" w:fill="FFFFFF"/>
        <w:spacing w:before="0" w:beforeAutospacing="0" w:after="80" w:afterAutospacing="0"/>
        <w:jc w:val="both"/>
        <w:rPr>
          <w:color w:val="444444"/>
        </w:rPr>
      </w:pPr>
      <w:hyperlink r:id="rId65" w:history="1">
        <w:r>
          <w:rPr>
            <w:rStyle w:val="Hyperlink"/>
            <w:color w:val="663399"/>
            <w:vertAlign w:val="superscript"/>
          </w:rPr>
          <w:t>12</w:t>
        </w:r>
      </w:hyperlink>
      <w:r>
        <w:rPr>
          <w:color w:val="444444"/>
        </w:rPr>
        <w:t>[</w:t>
      </w:r>
      <w:r>
        <w:rPr>
          <w:i/>
          <w:iCs/>
          <w:color w:val="444444"/>
        </w:rPr>
        <w:t>(4F) Every investment fund referred to in</w:t>
      </w:r>
      <w:r>
        <w:rPr>
          <w:rStyle w:val="apple-converted-space"/>
          <w:i/>
          <w:iCs/>
          <w:color w:val="444444"/>
        </w:rPr>
        <w:t> </w:t>
      </w:r>
      <w:hyperlink r:id="rId66" w:history="1">
        <w:r>
          <w:rPr>
            <w:rStyle w:val="Hyperlink"/>
            <w:i/>
            <w:iCs/>
            <w:color w:val="663399"/>
          </w:rPr>
          <w:t>section 115UB</w:t>
        </w:r>
      </w:hyperlink>
      <w:r>
        <w:rPr>
          <w:i/>
          <w:iCs/>
          <w:color w:val="444444"/>
        </w:rPr>
        <w:t>, which is not required to furnish return of income or loss under any other provisions of this section, shall furnish the return of income in respect of its income or loss in every previous year and all the provisions of this Act shall, so far as may be, apply as if it were a return required to be furnished under sub-section (1).</w:t>
      </w:r>
      <w:r>
        <w:rPr>
          <w:color w:val="444444"/>
        </w:rPr>
        <w:t>]</w:t>
      </w:r>
    </w:p>
    <w:p w:rsidR="00480514" w:rsidRDefault="00480514" w:rsidP="00480514">
      <w:pPr>
        <w:pStyle w:val="tx"/>
        <w:shd w:val="clear" w:color="auto" w:fill="FFFFFF"/>
        <w:spacing w:before="0" w:beforeAutospacing="0" w:after="80" w:afterAutospacing="0"/>
        <w:jc w:val="both"/>
        <w:rPr>
          <w:color w:val="444444"/>
        </w:rPr>
      </w:pPr>
      <w:r>
        <w:rPr>
          <w:color w:val="444444"/>
        </w:rPr>
        <w:t>(5) If any person, having furnished a return under sub-section (1), or in pursuance of a notice issued under sub-section (1) of</w:t>
      </w:r>
      <w:r>
        <w:rPr>
          <w:rStyle w:val="apple-converted-space"/>
          <w:color w:val="444444"/>
        </w:rPr>
        <w:t> </w:t>
      </w:r>
      <w:hyperlink r:id="rId67" w:history="1">
        <w:r>
          <w:rPr>
            <w:rStyle w:val="Hyperlink"/>
            <w:color w:val="663399"/>
          </w:rPr>
          <w:t>section 142</w:t>
        </w:r>
      </w:hyperlink>
      <w:r>
        <w:rPr>
          <w:color w:val="444444"/>
        </w:rPr>
        <w:t>, discovers any omission or any wrong statement therein, he may furnish a revised return at any time before the expiry of one year from the end of the relevant assessment year or before the completion of the assessment, whichever is earlier:</w:t>
      </w:r>
    </w:p>
    <w:p w:rsidR="00480514" w:rsidRDefault="00480514" w:rsidP="00480514">
      <w:pPr>
        <w:pStyle w:val="tx"/>
        <w:shd w:val="clear" w:color="auto" w:fill="FFFFFF"/>
        <w:spacing w:before="0" w:beforeAutospacing="0" w:after="80" w:afterAutospacing="0"/>
        <w:jc w:val="both"/>
        <w:rPr>
          <w:color w:val="444444"/>
        </w:rPr>
      </w:pPr>
      <w:r>
        <w:rPr>
          <w:b/>
          <w:bCs/>
          <w:color w:val="444444"/>
        </w:rPr>
        <w:t>Provided</w:t>
      </w:r>
      <w:r>
        <w:rPr>
          <w:rStyle w:val="apple-converted-space"/>
          <w:color w:val="444444"/>
        </w:rPr>
        <w:t> </w:t>
      </w:r>
      <w:r>
        <w:rPr>
          <w:color w:val="444444"/>
        </w:rPr>
        <w:t>that where the return relates to the previous year relevant to the assessment year commencing on the 1st day of April, 1988, or any earlier assessment year, the reference to one year aforesaid shall be construed as a reference to two years from the end of the relevant assessment year.</w:t>
      </w:r>
    </w:p>
    <w:p w:rsidR="00480514" w:rsidRDefault="00480514" w:rsidP="00480514">
      <w:pPr>
        <w:pStyle w:val="tx"/>
        <w:shd w:val="clear" w:color="auto" w:fill="FFFFFF"/>
        <w:spacing w:before="0" w:beforeAutospacing="0" w:after="80" w:afterAutospacing="0"/>
        <w:jc w:val="both"/>
        <w:rPr>
          <w:color w:val="444444"/>
        </w:rPr>
      </w:pPr>
      <w:r>
        <w:rPr>
          <w:b/>
          <w:bCs/>
          <w:color w:val="444444"/>
        </w:rPr>
        <w:lastRenderedPageBreak/>
        <w:t>Following sub-section (5) shall be substituted for the existing sub-section (5) of section 139 by the Finance Act, 2016, w.e.f. 1-4-2017:</w:t>
      </w:r>
    </w:p>
    <w:p w:rsidR="00480514" w:rsidRDefault="00480514" w:rsidP="00480514">
      <w:pPr>
        <w:pStyle w:val="tx"/>
        <w:shd w:val="clear" w:color="auto" w:fill="FFFFFF"/>
        <w:spacing w:before="0" w:beforeAutospacing="0" w:after="80" w:afterAutospacing="0"/>
        <w:jc w:val="both"/>
        <w:rPr>
          <w:color w:val="444444"/>
        </w:rPr>
      </w:pPr>
      <w:r>
        <w:rPr>
          <w:i/>
          <w:iCs/>
          <w:color w:val="444444"/>
        </w:rPr>
        <w:t>(5) If any person, having furnished a return under sub-section (1) or sub-section (4), discovers any omission or any wrong statement therein, he may furnish a revised return at any time before the expiry of one year from the end of the relevant assessment year or before the completion of the assessment, whichever is earlier.</w:t>
      </w:r>
    </w:p>
    <w:p w:rsidR="00480514" w:rsidRDefault="00480514" w:rsidP="00480514">
      <w:pPr>
        <w:pStyle w:val="tx"/>
        <w:shd w:val="clear" w:color="auto" w:fill="FFFFFF"/>
        <w:spacing w:before="0" w:beforeAutospacing="0" w:after="80" w:afterAutospacing="0"/>
        <w:jc w:val="both"/>
        <w:rPr>
          <w:color w:val="444444"/>
        </w:rPr>
      </w:pPr>
      <w:r>
        <w:rPr>
          <w:color w:val="444444"/>
        </w:rPr>
        <w:t>(6) The prescribed form of the returns referred to in sub-sections (1) and (3) of this section, and in clause (</w:t>
      </w:r>
      <w:r>
        <w:rPr>
          <w:i/>
          <w:iCs/>
          <w:color w:val="444444"/>
        </w:rPr>
        <w:t>i</w:t>
      </w:r>
      <w:r>
        <w:rPr>
          <w:color w:val="444444"/>
        </w:rPr>
        <w:t>) of sub-section (1) of</w:t>
      </w:r>
      <w:r>
        <w:rPr>
          <w:rStyle w:val="apple-converted-space"/>
          <w:color w:val="444444"/>
        </w:rPr>
        <w:t> </w:t>
      </w:r>
      <w:hyperlink r:id="rId68" w:history="1">
        <w:r>
          <w:rPr>
            <w:rStyle w:val="Hyperlink"/>
            <w:color w:val="663399"/>
          </w:rPr>
          <w:t>section 142</w:t>
        </w:r>
      </w:hyperlink>
      <w:r>
        <w:rPr>
          <w:rStyle w:val="apple-converted-space"/>
          <w:color w:val="444444"/>
        </w:rPr>
        <w:t> </w:t>
      </w:r>
      <w:r>
        <w:rPr>
          <w:color w:val="444444"/>
        </w:rPr>
        <w:t>shall, in such cases as may be prescribed, require the assessee to furnish the particulars of income exempt from tax,</w:t>
      </w:r>
      <w:r>
        <w:rPr>
          <w:rStyle w:val="apple-converted-space"/>
          <w:color w:val="444444"/>
        </w:rPr>
        <w:t> </w:t>
      </w:r>
      <w:hyperlink r:id="rId69" w:history="1">
        <w:r>
          <w:rPr>
            <w:rStyle w:val="Hyperlink"/>
            <w:color w:val="663399"/>
            <w:vertAlign w:val="superscript"/>
          </w:rPr>
          <w:t>13</w:t>
        </w:r>
      </w:hyperlink>
      <w:r>
        <w:rPr>
          <w:color w:val="444444"/>
        </w:rPr>
        <w:t>[</w:t>
      </w:r>
      <w:r>
        <w:rPr>
          <w:i/>
          <w:iCs/>
          <w:color w:val="444444"/>
        </w:rPr>
        <w:t>assets of the prescribed nature and value, held by him as a beneficial owner or otherwise or in which he is a beneficiary</w:t>
      </w:r>
      <w:r>
        <w:rPr>
          <w:color w:val="444444"/>
        </w:rPr>
        <w:t>], his bank account and credit card held by him, expenditure exceeding the prescribed limits incurred by him under prescribed heads and such other outgoings as may be prescribed.</w:t>
      </w:r>
    </w:p>
    <w:p w:rsidR="00480514" w:rsidRDefault="00480514" w:rsidP="00480514">
      <w:pPr>
        <w:pStyle w:val="tx"/>
        <w:shd w:val="clear" w:color="auto" w:fill="FFFFFF"/>
        <w:spacing w:before="0" w:beforeAutospacing="0" w:after="80" w:afterAutospacing="0"/>
        <w:jc w:val="both"/>
        <w:rPr>
          <w:color w:val="444444"/>
        </w:rPr>
      </w:pPr>
      <w:r>
        <w:rPr>
          <w:color w:val="444444"/>
        </w:rPr>
        <w:t>(6A) Without prejudice to the provisions of sub-section (6), the prescribed form of the returns referred to in this section, and in clause (</w:t>
      </w:r>
      <w:r>
        <w:rPr>
          <w:i/>
          <w:iCs/>
          <w:color w:val="444444"/>
        </w:rPr>
        <w:t>i</w:t>
      </w:r>
      <w:r>
        <w:rPr>
          <w:color w:val="444444"/>
        </w:rPr>
        <w:t>) of sub-section (1) of</w:t>
      </w:r>
      <w:r>
        <w:rPr>
          <w:rStyle w:val="apple-converted-space"/>
          <w:color w:val="444444"/>
        </w:rPr>
        <w:t> </w:t>
      </w:r>
      <w:hyperlink r:id="rId70" w:history="1">
        <w:r>
          <w:rPr>
            <w:rStyle w:val="Hyperlink"/>
            <w:color w:val="663399"/>
          </w:rPr>
          <w:t>section 142</w:t>
        </w:r>
      </w:hyperlink>
      <w:r>
        <w:rPr>
          <w:rStyle w:val="apple-converted-space"/>
          <w:color w:val="444444"/>
        </w:rPr>
        <w:t> </w:t>
      </w:r>
      <w:r>
        <w:rPr>
          <w:color w:val="444444"/>
        </w:rPr>
        <w:t>shall, in the case of an assessee engaged in any business or profession, also require him to furnish the report of any audit referred to in</w:t>
      </w:r>
      <w:r>
        <w:rPr>
          <w:rStyle w:val="apple-converted-space"/>
          <w:color w:val="444444"/>
        </w:rPr>
        <w:t> </w:t>
      </w:r>
      <w:hyperlink r:id="rId71" w:history="1">
        <w:r>
          <w:rPr>
            <w:rStyle w:val="Hyperlink"/>
            <w:color w:val="663399"/>
          </w:rPr>
          <w:t>section 44AB</w:t>
        </w:r>
      </w:hyperlink>
      <w:r>
        <w:rPr>
          <w:color w:val="444444"/>
        </w:rPr>
        <w:t>, or, where the report has been furnished prior to the furnishing of the return, a copy of such report together with proof of furnishing the report, the particulars of the location and style of the principal place where he carries on the business or profession and all the branches thereof, the names and addresses of his partners, if any, in such business or profession and, if he is a member of an association or body of individuals, the names of the other members of the association or the body of individuals and the extent of the share of the assessee and the shares of all such partners or the members, as the case may be, in the profits of the business or profession and any branches thereof.</w:t>
      </w:r>
    </w:p>
    <w:p w:rsidR="00480514" w:rsidRDefault="00480514" w:rsidP="00480514">
      <w:pPr>
        <w:pStyle w:val="tx"/>
        <w:shd w:val="clear" w:color="auto" w:fill="FFFFFF"/>
        <w:spacing w:before="0" w:beforeAutospacing="0" w:after="80" w:afterAutospacing="0"/>
        <w:jc w:val="both"/>
        <w:rPr>
          <w:color w:val="444444"/>
        </w:rPr>
      </w:pPr>
      <w:r>
        <w:rPr>
          <w:color w:val="444444"/>
        </w:rPr>
        <w:t>(7) [***]</w:t>
      </w:r>
    </w:p>
    <w:p w:rsidR="00480514" w:rsidRDefault="00480514" w:rsidP="00480514">
      <w:pPr>
        <w:pStyle w:val="tx"/>
        <w:shd w:val="clear" w:color="auto" w:fill="FFFFFF"/>
        <w:spacing w:before="0" w:beforeAutospacing="0" w:after="80" w:afterAutospacing="0"/>
        <w:jc w:val="both"/>
        <w:rPr>
          <w:color w:val="444444"/>
        </w:rPr>
      </w:pPr>
      <w:hyperlink r:id="rId72" w:history="1">
        <w:r>
          <w:rPr>
            <w:rStyle w:val="Hyperlink"/>
            <w:color w:val="663399"/>
            <w:vertAlign w:val="superscript"/>
          </w:rPr>
          <w:t>14</w:t>
        </w:r>
      </w:hyperlink>
      <w:r>
        <w:rPr>
          <w:color w:val="444444"/>
        </w:rPr>
        <w:t>(8)(</w:t>
      </w:r>
      <w:r>
        <w:rPr>
          <w:i/>
          <w:iCs/>
          <w:color w:val="444444"/>
        </w:rPr>
        <w:t>a</w:t>
      </w:r>
      <w:r>
        <w:rPr>
          <w:color w:val="444444"/>
        </w:rPr>
        <w:t>) Where the return under sub-section (1) or sub-section (2) or sub-section (4) for an assessment year is furnished after the specified date, or is not furnished, then whether or not the Assessing Officer has extended the date for furnishing the return under sub-section (1) or sub-section (2), the assessee shall be liable to pay simple interest at fifteen per cent per annum, reckoned from the day immediately following the specified date to the date of the furnishing of the return or, where no return has been furnished, the date of completion of the assessment under</w:t>
      </w:r>
      <w:r>
        <w:rPr>
          <w:rStyle w:val="apple-converted-space"/>
          <w:color w:val="444444"/>
        </w:rPr>
        <w:t> </w:t>
      </w:r>
      <w:hyperlink r:id="rId73" w:history="1">
        <w:r>
          <w:rPr>
            <w:rStyle w:val="Hyperlink"/>
            <w:color w:val="663399"/>
          </w:rPr>
          <w:t>section 144</w:t>
        </w:r>
      </w:hyperlink>
      <w:r>
        <w:rPr>
          <w:color w:val="444444"/>
        </w:rPr>
        <w:t>, on the amount of the tax payable on the total income as determined on regular assessment, as reduced by the advance tax, if any, paid, and any tax deducted at source :</w:t>
      </w:r>
    </w:p>
    <w:p w:rsidR="00480514" w:rsidRDefault="00480514" w:rsidP="00480514">
      <w:pPr>
        <w:pStyle w:val="tx"/>
        <w:shd w:val="clear" w:color="auto" w:fill="FFFFFF"/>
        <w:spacing w:before="0" w:beforeAutospacing="0" w:after="80" w:afterAutospacing="0"/>
        <w:jc w:val="both"/>
        <w:rPr>
          <w:color w:val="444444"/>
        </w:rPr>
      </w:pPr>
      <w:r>
        <w:rPr>
          <w:b/>
          <w:bCs/>
          <w:color w:val="444444"/>
        </w:rPr>
        <w:t>Provided</w:t>
      </w:r>
      <w:r>
        <w:rPr>
          <w:rStyle w:val="apple-converted-space"/>
          <w:color w:val="444444"/>
        </w:rPr>
        <w:t> </w:t>
      </w:r>
      <w:r>
        <w:rPr>
          <w:color w:val="444444"/>
        </w:rPr>
        <w:t>that the Assessing Officer may, in such cases and under such circumstances as may be prescribed</w:t>
      </w:r>
      <w:hyperlink r:id="rId74" w:history="1">
        <w:r>
          <w:rPr>
            <w:rStyle w:val="Hyperlink"/>
            <w:color w:val="663399"/>
            <w:vertAlign w:val="superscript"/>
          </w:rPr>
          <w:t>15</w:t>
        </w:r>
      </w:hyperlink>
      <w:r>
        <w:rPr>
          <w:color w:val="444444"/>
        </w:rPr>
        <w:t>, reduce or waive the interest payable by any assessee under this sub-section.</w:t>
      </w:r>
    </w:p>
    <w:p w:rsidR="00480514" w:rsidRDefault="00480514" w:rsidP="00480514">
      <w:pPr>
        <w:pStyle w:val="tx"/>
        <w:shd w:val="clear" w:color="auto" w:fill="FFFFFF"/>
        <w:spacing w:before="0" w:beforeAutospacing="0" w:after="80" w:afterAutospacing="0"/>
        <w:jc w:val="both"/>
        <w:rPr>
          <w:color w:val="444444"/>
        </w:rPr>
      </w:pPr>
      <w:r>
        <w:rPr>
          <w:i/>
          <w:iCs/>
          <w:color w:val="444444"/>
        </w:rPr>
        <w:t>Explanation 1.</w:t>
      </w:r>
      <w:r>
        <w:rPr>
          <w:color w:val="444444"/>
        </w:rPr>
        <w:t>—</w:t>
      </w:r>
      <w:proofErr w:type="gramStart"/>
      <w:r>
        <w:rPr>
          <w:color w:val="444444"/>
        </w:rPr>
        <w:t>For</w:t>
      </w:r>
      <w:proofErr w:type="gramEnd"/>
      <w:r>
        <w:rPr>
          <w:color w:val="444444"/>
        </w:rPr>
        <w:t xml:space="preserve"> the purposes of this sub-section, "specified date", in relation to a return for an assessment year, means,—</w:t>
      </w:r>
    </w:p>
    <w:p w:rsidR="00480514" w:rsidRDefault="00480514" w:rsidP="00480514">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a</w:t>
      </w:r>
      <w:r>
        <w:rPr>
          <w:color w:val="444444"/>
        </w:rPr>
        <w:t xml:space="preserve">) in the case of every assessee whose total income, or the total income of any person in respect of which he is assessable under this Act, includes any income from business or profession, the date of the expiry of four months from the end of the previous year or </w:t>
      </w:r>
      <w:r>
        <w:rPr>
          <w:color w:val="444444"/>
        </w:rPr>
        <w:lastRenderedPageBreak/>
        <w:t>where there is more than one previous year, from the end of the previous year which expired last before the commencement of the assessment year or the 30th day of June of the assessment year, whichever is later;</w:t>
      </w:r>
    </w:p>
    <w:p w:rsidR="00480514" w:rsidRDefault="00480514" w:rsidP="00480514">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b</w:t>
      </w:r>
      <w:r>
        <w:rPr>
          <w:color w:val="444444"/>
        </w:rPr>
        <w:t xml:space="preserve">) </w:t>
      </w:r>
      <w:proofErr w:type="gramStart"/>
      <w:r>
        <w:rPr>
          <w:color w:val="444444"/>
        </w:rPr>
        <w:t>in</w:t>
      </w:r>
      <w:proofErr w:type="gramEnd"/>
      <w:r>
        <w:rPr>
          <w:color w:val="444444"/>
        </w:rPr>
        <w:t xml:space="preserve"> the case of every other assessee, the 30th day of June of the assessment year.</w:t>
      </w:r>
    </w:p>
    <w:p w:rsidR="00480514" w:rsidRDefault="00480514" w:rsidP="00480514">
      <w:pPr>
        <w:pStyle w:val="tx"/>
        <w:shd w:val="clear" w:color="auto" w:fill="FFFFFF"/>
        <w:spacing w:before="0" w:beforeAutospacing="0" w:after="80" w:afterAutospacing="0"/>
        <w:jc w:val="both"/>
        <w:rPr>
          <w:color w:val="444444"/>
        </w:rPr>
      </w:pPr>
      <w:r>
        <w:rPr>
          <w:i/>
          <w:iCs/>
          <w:color w:val="444444"/>
        </w:rPr>
        <w:t>Explanation 2.</w:t>
      </w:r>
      <w:r>
        <w:rPr>
          <w:color w:val="444444"/>
        </w:rPr>
        <w:t>—Where, in relation to an assessment year, an assessment is made for the first time under</w:t>
      </w:r>
      <w:r>
        <w:rPr>
          <w:rStyle w:val="apple-converted-space"/>
          <w:color w:val="444444"/>
        </w:rPr>
        <w:t> </w:t>
      </w:r>
      <w:hyperlink r:id="rId75" w:history="1">
        <w:r>
          <w:rPr>
            <w:rStyle w:val="Hyperlink"/>
            <w:color w:val="663399"/>
          </w:rPr>
          <w:t>section 147</w:t>
        </w:r>
      </w:hyperlink>
      <w:r>
        <w:rPr>
          <w:color w:val="444444"/>
        </w:rPr>
        <w:t>, the assessment so made shall be regarded as a regular assessment for the purposes of this sub-section.</w:t>
      </w:r>
    </w:p>
    <w:p w:rsidR="00480514" w:rsidRDefault="00480514" w:rsidP="00480514">
      <w:pPr>
        <w:pStyle w:val="tx"/>
        <w:shd w:val="clear" w:color="auto" w:fill="FFFFFF"/>
        <w:spacing w:before="0" w:beforeAutospacing="0" w:after="80" w:afterAutospacing="0"/>
        <w:jc w:val="both"/>
        <w:rPr>
          <w:color w:val="444444"/>
        </w:rPr>
      </w:pPr>
      <w:r>
        <w:rPr>
          <w:color w:val="444444"/>
        </w:rPr>
        <w:t>(</w:t>
      </w:r>
      <w:r>
        <w:rPr>
          <w:i/>
          <w:iCs/>
          <w:color w:val="444444"/>
        </w:rPr>
        <w:t>b</w:t>
      </w:r>
      <w:r>
        <w:rPr>
          <w:color w:val="444444"/>
        </w:rPr>
        <w:t>)  Where as a result of an order under</w:t>
      </w:r>
      <w:r>
        <w:rPr>
          <w:rStyle w:val="apple-converted-space"/>
          <w:color w:val="444444"/>
        </w:rPr>
        <w:t> </w:t>
      </w:r>
      <w:hyperlink r:id="rId76" w:history="1">
        <w:r>
          <w:rPr>
            <w:rStyle w:val="Hyperlink"/>
            <w:color w:val="663399"/>
          </w:rPr>
          <w:t>section 147</w:t>
        </w:r>
      </w:hyperlink>
      <w:r>
        <w:rPr>
          <w:rStyle w:val="apple-converted-space"/>
          <w:color w:val="444444"/>
        </w:rPr>
        <w:t> </w:t>
      </w:r>
      <w:r>
        <w:rPr>
          <w:color w:val="444444"/>
        </w:rPr>
        <w:t>or</w:t>
      </w:r>
      <w:r>
        <w:rPr>
          <w:rStyle w:val="apple-converted-space"/>
          <w:color w:val="444444"/>
        </w:rPr>
        <w:t> </w:t>
      </w:r>
      <w:hyperlink r:id="rId77" w:history="1">
        <w:r>
          <w:rPr>
            <w:rStyle w:val="Hyperlink"/>
            <w:color w:val="663399"/>
          </w:rPr>
          <w:t>section 154</w:t>
        </w:r>
      </w:hyperlink>
      <w:r>
        <w:rPr>
          <w:rStyle w:val="apple-converted-space"/>
          <w:color w:val="444444"/>
        </w:rPr>
        <w:t> </w:t>
      </w:r>
      <w:r>
        <w:rPr>
          <w:color w:val="444444"/>
        </w:rPr>
        <w:t>or</w:t>
      </w:r>
      <w:r>
        <w:rPr>
          <w:rStyle w:val="apple-converted-space"/>
          <w:color w:val="444444"/>
        </w:rPr>
        <w:t> </w:t>
      </w:r>
      <w:hyperlink r:id="rId78" w:history="1">
        <w:r>
          <w:rPr>
            <w:rStyle w:val="Hyperlink"/>
            <w:color w:val="663399"/>
          </w:rPr>
          <w:t>section 155</w:t>
        </w:r>
      </w:hyperlink>
      <w:r>
        <w:rPr>
          <w:rStyle w:val="apple-converted-space"/>
          <w:color w:val="444444"/>
        </w:rPr>
        <w:t> </w:t>
      </w:r>
      <w:r>
        <w:rPr>
          <w:color w:val="444444"/>
        </w:rPr>
        <w:t>or</w:t>
      </w:r>
      <w:r>
        <w:rPr>
          <w:rStyle w:val="apple-converted-space"/>
          <w:color w:val="444444"/>
        </w:rPr>
        <w:t> </w:t>
      </w:r>
      <w:hyperlink r:id="rId79" w:history="1">
        <w:r>
          <w:rPr>
            <w:rStyle w:val="Hyperlink"/>
            <w:color w:val="663399"/>
          </w:rPr>
          <w:t>section 250</w:t>
        </w:r>
      </w:hyperlink>
      <w:r>
        <w:rPr>
          <w:rStyle w:val="apple-converted-space"/>
          <w:color w:val="444444"/>
        </w:rPr>
        <w:t> </w:t>
      </w:r>
      <w:r>
        <w:rPr>
          <w:color w:val="444444"/>
        </w:rPr>
        <w:t>or</w:t>
      </w:r>
      <w:r>
        <w:rPr>
          <w:rStyle w:val="apple-converted-space"/>
          <w:color w:val="444444"/>
        </w:rPr>
        <w:t> </w:t>
      </w:r>
      <w:hyperlink r:id="rId80" w:history="1">
        <w:r>
          <w:rPr>
            <w:rStyle w:val="Hyperlink"/>
            <w:color w:val="663399"/>
          </w:rPr>
          <w:t>section 254</w:t>
        </w:r>
      </w:hyperlink>
      <w:r>
        <w:rPr>
          <w:rStyle w:val="apple-converted-space"/>
          <w:color w:val="444444"/>
        </w:rPr>
        <w:t> </w:t>
      </w:r>
      <w:r>
        <w:rPr>
          <w:color w:val="444444"/>
        </w:rPr>
        <w:t>or</w:t>
      </w:r>
      <w:r>
        <w:rPr>
          <w:rStyle w:val="apple-converted-space"/>
          <w:color w:val="444444"/>
        </w:rPr>
        <w:t> </w:t>
      </w:r>
      <w:hyperlink r:id="rId81" w:history="1">
        <w:r>
          <w:rPr>
            <w:rStyle w:val="Hyperlink"/>
            <w:color w:val="663399"/>
          </w:rPr>
          <w:t>section 260</w:t>
        </w:r>
      </w:hyperlink>
      <w:r>
        <w:rPr>
          <w:rStyle w:val="apple-converted-space"/>
          <w:color w:val="444444"/>
        </w:rPr>
        <w:t> </w:t>
      </w:r>
      <w:r>
        <w:rPr>
          <w:color w:val="444444"/>
        </w:rPr>
        <w:t>or</w:t>
      </w:r>
      <w:r>
        <w:rPr>
          <w:rStyle w:val="apple-converted-space"/>
          <w:color w:val="444444"/>
        </w:rPr>
        <w:t> </w:t>
      </w:r>
      <w:hyperlink r:id="rId82" w:history="1">
        <w:r>
          <w:rPr>
            <w:rStyle w:val="Hyperlink"/>
            <w:color w:val="663399"/>
          </w:rPr>
          <w:t>section 262</w:t>
        </w:r>
      </w:hyperlink>
      <w:r>
        <w:rPr>
          <w:rStyle w:val="apple-converted-space"/>
          <w:color w:val="444444"/>
        </w:rPr>
        <w:t> </w:t>
      </w:r>
      <w:r>
        <w:rPr>
          <w:color w:val="444444"/>
        </w:rPr>
        <w:t>or</w:t>
      </w:r>
      <w:r>
        <w:rPr>
          <w:rStyle w:val="apple-converted-space"/>
          <w:color w:val="444444"/>
        </w:rPr>
        <w:t> </w:t>
      </w:r>
      <w:hyperlink r:id="rId83" w:history="1">
        <w:r>
          <w:rPr>
            <w:rStyle w:val="Hyperlink"/>
            <w:color w:val="663399"/>
          </w:rPr>
          <w:t>section 263</w:t>
        </w:r>
      </w:hyperlink>
      <w:r>
        <w:rPr>
          <w:rStyle w:val="apple-converted-space"/>
          <w:color w:val="444444"/>
        </w:rPr>
        <w:t> </w:t>
      </w:r>
      <w:r>
        <w:rPr>
          <w:color w:val="444444"/>
        </w:rPr>
        <w:t>or</w:t>
      </w:r>
      <w:r>
        <w:rPr>
          <w:rStyle w:val="apple-converted-space"/>
          <w:color w:val="444444"/>
        </w:rPr>
        <w:t> </w:t>
      </w:r>
      <w:hyperlink r:id="rId84" w:history="1">
        <w:r>
          <w:rPr>
            <w:rStyle w:val="Hyperlink"/>
            <w:color w:val="663399"/>
          </w:rPr>
          <w:t>section 264</w:t>
        </w:r>
      </w:hyperlink>
      <w:r>
        <w:rPr>
          <w:rStyle w:val="apple-converted-space"/>
          <w:color w:val="444444"/>
        </w:rPr>
        <w:t> </w:t>
      </w:r>
      <w:r>
        <w:rPr>
          <w:color w:val="444444"/>
        </w:rPr>
        <w:t>or an order of the Settlement Commission under sub-section (4) of</w:t>
      </w:r>
      <w:r>
        <w:rPr>
          <w:rStyle w:val="apple-converted-space"/>
          <w:color w:val="444444"/>
        </w:rPr>
        <w:t> </w:t>
      </w:r>
      <w:hyperlink r:id="rId85" w:history="1">
        <w:r>
          <w:rPr>
            <w:rStyle w:val="Hyperlink"/>
            <w:color w:val="663399"/>
          </w:rPr>
          <w:t>section 245D</w:t>
        </w:r>
      </w:hyperlink>
      <w:r>
        <w:rPr>
          <w:color w:val="444444"/>
        </w:rPr>
        <w:t>, the amount of tax on which interest was payable under this sub-section has been increased or reduced, as the case may be, the interest shall be increased or reduced accordingly, and—</w:t>
      </w:r>
    </w:p>
    <w:p w:rsidR="00480514" w:rsidRDefault="00480514" w:rsidP="00480514">
      <w:pPr>
        <w:pStyle w:val="indent1"/>
        <w:shd w:val="clear" w:color="auto" w:fill="FFFFFF"/>
        <w:spacing w:before="0" w:beforeAutospacing="0" w:after="80" w:afterAutospacing="0"/>
        <w:ind w:left="567" w:hanging="397"/>
        <w:jc w:val="both"/>
        <w:rPr>
          <w:color w:val="444444"/>
        </w:rPr>
      </w:pPr>
      <w:r>
        <w:rPr>
          <w:color w:val="444444"/>
        </w:rPr>
        <w:t>  (</w:t>
      </w:r>
      <w:r>
        <w:rPr>
          <w:i/>
          <w:iCs/>
          <w:color w:val="444444"/>
        </w:rPr>
        <w:t>i</w:t>
      </w:r>
      <w:r>
        <w:rPr>
          <w:color w:val="444444"/>
        </w:rPr>
        <w:t>) in a case where the interest is increased, the Assessing Officer shall serve on the assessee, a notice of demand in the prescribed form specifying the sum payable, and such notice of demand shall be deemed to be a notice under</w:t>
      </w:r>
      <w:r>
        <w:rPr>
          <w:rStyle w:val="apple-converted-space"/>
          <w:color w:val="444444"/>
        </w:rPr>
        <w:t> </w:t>
      </w:r>
      <w:hyperlink r:id="rId86" w:history="1">
        <w:r>
          <w:rPr>
            <w:rStyle w:val="Hyperlink"/>
            <w:color w:val="663399"/>
          </w:rPr>
          <w:t>section 156</w:t>
        </w:r>
      </w:hyperlink>
      <w:r>
        <w:rPr>
          <w:rStyle w:val="apple-converted-space"/>
          <w:color w:val="444444"/>
        </w:rPr>
        <w:t> </w:t>
      </w:r>
      <w:r>
        <w:rPr>
          <w:color w:val="444444"/>
        </w:rPr>
        <w:t>and the provisions of this Act shall apply accordingly;</w:t>
      </w:r>
    </w:p>
    <w:p w:rsidR="00480514" w:rsidRDefault="00480514" w:rsidP="00480514">
      <w:pPr>
        <w:pStyle w:val="indent1"/>
        <w:shd w:val="clear" w:color="auto" w:fill="FFFFFF"/>
        <w:spacing w:before="0" w:beforeAutospacing="0" w:after="80" w:afterAutospacing="0"/>
        <w:ind w:left="567" w:hanging="397"/>
        <w:jc w:val="both"/>
        <w:rPr>
          <w:color w:val="444444"/>
        </w:rPr>
      </w:pPr>
      <w:r>
        <w:rPr>
          <w:color w:val="444444"/>
        </w:rPr>
        <w:t> (</w:t>
      </w:r>
      <w:r>
        <w:rPr>
          <w:i/>
          <w:iCs/>
          <w:color w:val="444444"/>
        </w:rPr>
        <w:t>ii</w:t>
      </w:r>
      <w:r>
        <w:rPr>
          <w:color w:val="444444"/>
        </w:rPr>
        <w:t xml:space="preserve">) </w:t>
      </w:r>
      <w:proofErr w:type="gramStart"/>
      <w:r>
        <w:rPr>
          <w:color w:val="444444"/>
        </w:rPr>
        <w:t>in</w:t>
      </w:r>
      <w:proofErr w:type="gramEnd"/>
      <w:r>
        <w:rPr>
          <w:color w:val="444444"/>
        </w:rPr>
        <w:t xml:space="preserve"> a case where the interest is reduced, the excess interest paid, if any, shall be refunded.</w:t>
      </w:r>
    </w:p>
    <w:p w:rsidR="00480514" w:rsidRDefault="00480514" w:rsidP="00480514">
      <w:pPr>
        <w:pStyle w:val="tx"/>
        <w:shd w:val="clear" w:color="auto" w:fill="FFFFFF"/>
        <w:spacing w:before="0" w:beforeAutospacing="0" w:after="80" w:afterAutospacing="0"/>
        <w:jc w:val="both"/>
        <w:rPr>
          <w:color w:val="444444"/>
        </w:rPr>
      </w:pPr>
      <w:r>
        <w:rPr>
          <w:color w:val="444444"/>
        </w:rPr>
        <w:t>(</w:t>
      </w:r>
      <w:r>
        <w:rPr>
          <w:i/>
          <w:iCs/>
          <w:color w:val="444444"/>
        </w:rPr>
        <w:t>c</w:t>
      </w:r>
      <w:r>
        <w:rPr>
          <w:color w:val="444444"/>
        </w:rPr>
        <w:t>) The provisions of this sub-section shall apply in respect of the assessment for the assessment year commencing on the 1st day of April, 1988, or any earlier assessment year, and references therein to the other provisions of this Act shall be construed as references to the said provisions as they were applicable to the relevant assessment year.</w:t>
      </w:r>
    </w:p>
    <w:p w:rsidR="00480514" w:rsidRDefault="00480514" w:rsidP="00480514">
      <w:pPr>
        <w:pStyle w:val="tx"/>
        <w:shd w:val="clear" w:color="auto" w:fill="FFFFFF"/>
        <w:spacing w:before="0" w:beforeAutospacing="0" w:after="80" w:afterAutospacing="0"/>
        <w:jc w:val="both"/>
        <w:rPr>
          <w:color w:val="444444"/>
        </w:rPr>
      </w:pPr>
      <w:r>
        <w:rPr>
          <w:color w:val="444444"/>
        </w:rPr>
        <w:t>(9) Where the Assessing Officer considers that the return of income furnished by the assessee is defective, he may intimate the defect to the assessee and give him an opportunity to rectify the defect within a period of fifteen days from the date of such intimation or within such further period which, on an application made in this behalf, the Assessing Officer may, in his discretion, allow; and if the defect is not rectified within the said period of fifteen days or, as the case may be, the further period so allowed, then, notwithstanding anything contained in any other provision of this Act, the return shall be treated as an invalid return and the provisions of this Act shall apply as if the assessee had failed to furnish the return:</w:t>
      </w:r>
    </w:p>
    <w:p w:rsidR="00480514" w:rsidRDefault="00480514" w:rsidP="00480514">
      <w:pPr>
        <w:pStyle w:val="tx"/>
        <w:shd w:val="clear" w:color="auto" w:fill="FFFFFF"/>
        <w:spacing w:before="0" w:beforeAutospacing="0" w:after="80" w:afterAutospacing="0"/>
        <w:jc w:val="both"/>
        <w:rPr>
          <w:color w:val="444444"/>
        </w:rPr>
      </w:pPr>
      <w:r>
        <w:rPr>
          <w:b/>
          <w:bCs/>
          <w:color w:val="444444"/>
        </w:rPr>
        <w:t>Provided</w:t>
      </w:r>
      <w:r>
        <w:rPr>
          <w:rStyle w:val="apple-converted-space"/>
          <w:color w:val="444444"/>
        </w:rPr>
        <w:t> </w:t>
      </w:r>
      <w:r>
        <w:rPr>
          <w:color w:val="444444"/>
        </w:rPr>
        <w:t>that where the assessee rectifies the defect after the expiry of the said period of fifteen days or the further period allowed, but before the assessment is made, the Assessing Officer may condone the delay and treat the return as a valid return.</w:t>
      </w:r>
    </w:p>
    <w:p w:rsidR="00480514" w:rsidRDefault="00480514" w:rsidP="00480514">
      <w:pPr>
        <w:pStyle w:val="tx"/>
        <w:shd w:val="clear" w:color="auto" w:fill="FFFFFF"/>
        <w:spacing w:before="0" w:beforeAutospacing="0" w:after="80" w:afterAutospacing="0"/>
        <w:jc w:val="both"/>
        <w:rPr>
          <w:color w:val="444444"/>
        </w:rPr>
      </w:pPr>
      <w:r>
        <w:rPr>
          <w:i/>
          <w:iCs/>
          <w:color w:val="444444"/>
        </w:rPr>
        <w:t>Explanation</w:t>
      </w:r>
      <w:r>
        <w:rPr>
          <w:color w:val="444444"/>
        </w:rPr>
        <w:t>.—for the purposes of this sub-section, a return of income shall be regarded as defective unless all the following conditions are fulfilled, namely:—</w:t>
      </w:r>
    </w:p>
    <w:p w:rsidR="00480514" w:rsidRDefault="00480514" w:rsidP="00480514">
      <w:pPr>
        <w:pStyle w:val="indent1a"/>
        <w:shd w:val="clear" w:color="auto" w:fill="FFFFFF"/>
        <w:spacing w:before="0" w:beforeAutospacing="0" w:after="80" w:afterAutospacing="0"/>
        <w:ind w:left="794" w:hanging="510"/>
        <w:jc w:val="both"/>
        <w:rPr>
          <w:color w:val="444444"/>
        </w:rPr>
      </w:pPr>
      <w:hyperlink r:id="rId87" w:history="1">
        <w:r>
          <w:rPr>
            <w:rStyle w:val="Hyperlink"/>
            <w:color w:val="663399"/>
            <w:vertAlign w:val="superscript"/>
          </w:rPr>
          <w:t>16</w:t>
        </w:r>
      </w:hyperlink>
      <w:r>
        <w:rPr>
          <w:color w:val="444444"/>
        </w:rPr>
        <w:t>(</w:t>
      </w:r>
      <w:r>
        <w:rPr>
          <w:i/>
          <w:iCs/>
          <w:color w:val="444444"/>
        </w:rPr>
        <w:t>a</w:t>
      </w:r>
      <w:r>
        <w:rPr>
          <w:color w:val="444444"/>
        </w:rPr>
        <w:t>) the annexures, statements and columns in the return of income relating to computation of income chargeable under each head of income, computation of gross total income and total income have been duly filled in;</w:t>
      </w:r>
    </w:p>
    <w:p w:rsidR="00480514" w:rsidRDefault="00480514" w:rsidP="00480514">
      <w:pPr>
        <w:pStyle w:val="indent1a"/>
        <w:shd w:val="clear" w:color="auto" w:fill="FFFFFF"/>
        <w:spacing w:before="0" w:beforeAutospacing="0" w:after="80" w:afterAutospacing="0"/>
        <w:ind w:left="794" w:hanging="624"/>
        <w:jc w:val="both"/>
        <w:rPr>
          <w:color w:val="444444"/>
        </w:rPr>
      </w:pPr>
      <w:hyperlink r:id="rId88" w:history="1">
        <w:r>
          <w:rPr>
            <w:rStyle w:val="Hyperlink"/>
            <w:color w:val="663399"/>
            <w:vertAlign w:val="superscript"/>
          </w:rPr>
          <w:t>17</w:t>
        </w:r>
      </w:hyperlink>
      <w:r>
        <w:rPr>
          <w:b/>
          <w:bCs/>
          <w:color w:val="444444"/>
        </w:rPr>
        <w:t>[</w:t>
      </w:r>
      <w:r>
        <w:rPr>
          <w:i/>
          <w:iCs/>
          <w:color w:val="444444"/>
        </w:rPr>
        <w:t>(</w:t>
      </w:r>
      <w:r>
        <w:rPr>
          <w:color w:val="444444"/>
        </w:rPr>
        <w:t>aa</w:t>
      </w:r>
      <w:r>
        <w:rPr>
          <w:i/>
          <w:iCs/>
          <w:color w:val="444444"/>
        </w:rPr>
        <w:t>) the tax together with interest, if any, payable in accordance with the provisions of</w:t>
      </w:r>
      <w:r>
        <w:rPr>
          <w:rStyle w:val="apple-converted-space"/>
          <w:i/>
          <w:iCs/>
          <w:color w:val="444444"/>
        </w:rPr>
        <w:t> </w:t>
      </w:r>
      <w:hyperlink r:id="rId89" w:history="1">
        <w:r>
          <w:rPr>
            <w:rStyle w:val="Hyperlink"/>
            <w:i/>
            <w:iCs/>
            <w:color w:val="663399"/>
          </w:rPr>
          <w:t>section 140A</w:t>
        </w:r>
      </w:hyperlink>
      <w:r>
        <w:rPr>
          <w:i/>
          <w:iCs/>
          <w:color w:val="444444"/>
        </w:rPr>
        <w:t>, has been paid on or before the date of furnishing of the return;</w:t>
      </w:r>
      <w:r>
        <w:rPr>
          <w:b/>
          <w:bCs/>
          <w:color w:val="444444"/>
        </w:rPr>
        <w:t>]</w:t>
      </w:r>
    </w:p>
    <w:p w:rsidR="00480514" w:rsidRDefault="00480514" w:rsidP="00480514">
      <w:pPr>
        <w:pStyle w:val="indent1a"/>
        <w:shd w:val="clear" w:color="auto" w:fill="FFFFFF"/>
        <w:spacing w:before="0" w:beforeAutospacing="0" w:after="80" w:afterAutospacing="0"/>
        <w:ind w:left="794" w:hanging="624"/>
        <w:jc w:val="both"/>
        <w:rPr>
          <w:color w:val="444444"/>
        </w:rPr>
      </w:pPr>
      <w:hyperlink r:id="rId90" w:history="1">
        <w:proofErr w:type="gramStart"/>
        <w:r>
          <w:rPr>
            <w:rStyle w:val="Hyperlink"/>
            <w:color w:val="663399"/>
            <w:vertAlign w:val="superscript"/>
          </w:rPr>
          <w:t>17a</w:t>
        </w:r>
        <w:proofErr w:type="gramEnd"/>
      </w:hyperlink>
      <w:r>
        <w:rPr>
          <w:color w:val="444444"/>
        </w:rPr>
        <w:t>(</w:t>
      </w:r>
      <w:r>
        <w:rPr>
          <w:i/>
          <w:iCs/>
          <w:color w:val="444444"/>
        </w:rPr>
        <w:t>b</w:t>
      </w:r>
      <w:r>
        <w:rPr>
          <w:color w:val="444444"/>
        </w:rPr>
        <w:t>) the return is accompanied by a statement showing the computation of the tax payable on the basis of the return;</w:t>
      </w:r>
    </w:p>
    <w:p w:rsidR="00480514" w:rsidRDefault="00480514" w:rsidP="00480514">
      <w:pPr>
        <w:pStyle w:val="indent1a"/>
        <w:shd w:val="clear" w:color="auto" w:fill="FFFFFF"/>
        <w:spacing w:before="0" w:beforeAutospacing="0" w:after="80" w:afterAutospacing="0"/>
        <w:ind w:left="794" w:hanging="510"/>
        <w:jc w:val="both"/>
        <w:rPr>
          <w:color w:val="444444"/>
        </w:rPr>
      </w:pPr>
      <w:r>
        <w:rPr>
          <w:color w:val="444444"/>
        </w:rPr>
        <w:t>(</w:t>
      </w:r>
      <w:r>
        <w:rPr>
          <w:i/>
          <w:iCs/>
          <w:color w:val="444444"/>
        </w:rPr>
        <w:t>bb</w:t>
      </w:r>
      <w:r>
        <w:rPr>
          <w:color w:val="444444"/>
        </w:rPr>
        <w:t>)</w:t>
      </w:r>
      <w:r>
        <w:rPr>
          <w:rStyle w:val="apple-converted-space"/>
          <w:color w:val="444444"/>
        </w:rPr>
        <w:t> </w:t>
      </w:r>
      <w:hyperlink r:id="rId91" w:history="1">
        <w:r>
          <w:rPr>
            <w:rStyle w:val="Hyperlink"/>
            <w:color w:val="663399"/>
            <w:vertAlign w:val="superscript"/>
          </w:rPr>
          <w:t>17a</w:t>
        </w:r>
        <w:r>
          <w:rPr>
            <w:rStyle w:val="apple-converted-space"/>
            <w:color w:val="663399"/>
            <w:vertAlign w:val="superscript"/>
          </w:rPr>
          <w:t> </w:t>
        </w:r>
      </w:hyperlink>
      <w:r>
        <w:rPr>
          <w:color w:val="444444"/>
        </w:rPr>
        <w:t>the return is accompanied by the report of the audit referred to in</w:t>
      </w:r>
      <w:r>
        <w:rPr>
          <w:rStyle w:val="apple-converted-space"/>
          <w:color w:val="444444"/>
        </w:rPr>
        <w:t> </w:t>
      </w:r>
      <w:hyperlink r:id="rId92" w:history="1">
        <w:r>
          <w:rPr>
            <w:rStyle w:val="Hyperlink"/>
            <w:color w:val="663399"/>
          </w:rPr>
          <w:t>section 44AB</w:t>
        </w:r>
      </w:hyperlink>
      <w:r>
        <w:rPr>
          <w:color w:val="444444"/>
        </w:rPr>
        <w:t>, or, where the report has been furnished prior to the furnishing of the return, by a copy of such report together with proof of furnishing the report;</w:t>
      </w:r>
    </w:p>
    <w:p w:rsidR="00480514" w:rsidRDefault="00480514" w:rsidP="00480514">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c</w:t>
      </w:r>
      <w:r>
        <w:rPr>
          <w:color w:val="444444"/>
        </w:rPr>
        <w:t xml:space="preserve">) </w:t>
      </w:r>
      <w:proofErr w:type="gramStart"/>
      <w:r>
        <w:rPr>
          <w:color w:val="444444"/>
        </w:rPr>
        <w:t>the</w:t>
      </w:r>
      <w:proofErr w:type="gramEnd"/>
      <w:r>
        <w:rPr>
          <w:color w:val="444444"/>
        </w:rPr>
        <w:t xml:space="preserve"> return is accompanied by proof of—</w:t>
      </w:r>
    </w:p>
    <w:p w:rsidR="00480514" w:rsidRDefault="00480514" w:rsidP="00480514">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i</w:t>
      </w:r>
      <w:r>
        <w:rPr>
          <w:color w:val="444444"/>
        </w:rPr>
        <w:t xml:space="preserve">) </w:t>
      </w:r>
      <w:proofErr w:type="gramStart"/>
      <w:r>
        <w:rPr>
          <w:color w:val="444444"/>
        </w:rPr>
        <w:t>the</w:t>
      </w:r>
      <w:proofErr w:type="gramEnd"/>
      <w:r>
        <w:rPr>
          <w:color w:val="444444"/>
        </w:rPr>
        <w:t xml:space="preserve"> tax, if any, claimed to have been deducted or collected at source and the advance tax and tax on self-assessment, if any, claimed to have been paid:</w:t>
      </w:r>
    </w:p>
    <w:p w:rsidR="00480514" w:rsidRDefault="00480514" w:rsidP="00480514">
      <w:pPr>
        <w:pStyle w:val="indent2a"/>
        <w:shd w:val="clear" w:color="auto" w:fill="FFFFFF"/>
        <w:spacing w:before="0" w:beforeAutospacing="0" w:after="80" w:afterAutospacing="0"/>
        <w:ind w:left="1361"/>
        <w:jc w:val="both"/>
        <w:rPr>
          <w:color w:val="444444"/>
        </w:rPr>
      </w:pPr>
      <w:r>
        <w:rPr>
          <w:b/>
          <w:bCs/>
          <w:color w:val="444444"/>
        </w:rPr>
        <w:t>Provided</w:t>
      </w:r>
      <w:r>
        <w:rPr>
          <w:rStyle w:val="apple-converted-space"/>
          <w:b/>
          <w:bCs/>
          <w:color w:val="444444"/>
        </w:rPr>
        <w:t> </w:t>
      </w:r>
      <w:r>
        <w:rPr>
          <w:color w:val="444444"/>
        </w:rPr>
        <w:t>that where the return is not accompanied by proof of the tax, if any, claimed to have been deducted or collected at source, the return of income shall not be regarded as defective if—</w:t>
      </w:r>
    </w:p>
    <w:p w:rsidR="00480514" w:rsidRDefault="00480514" w:rsidP="00480514">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a</w:t>
      </w:r>
      <w:r>
        <w:rPr>
          <w:color w:val="444444"/>
        </w:rPr>
        <w:t xml:space="preserve">) </w:t>
      </w:r>
      <w:proofErr w:type="gramStart"/>
      <w:r>
        <w:rPr>
          <w:color w:val="444444"/>
        </w:rPr>
        <w:t>a</w:t>
      </w:r>
      <w:proofErr w:type="gramEnd"/>
      <w:r>
        <w:rPr>
          <w:color w:val="444444"/>
        </w:rPr>
        <w:t xml:space="preserve"> certificate for tax deducted or collected was not furnished under</w:t>
      </w:r>
      <w:r>
        <w:rPr>
          <w:rStyle w:val="apple-converted-space"/>
          <w:color w:val="444444"/>
        </w:rPr>
        <w:t> </w:t>
      </w:r>
      <w:hyperlink r:id="rId93" w:history="1">
        <w:r>
          <w:rPr>
            <w:rStyle w:val="Hyperlink"/>
            <w:color w:val="663399"/>
          </w:rPr>
          <w:t>section 203</w:t>
        </w:r>
      </w:hyperlink>
      <w:r>
        <w:rPr>
          <w:rStyle w:val="apple-converted-space"/>
          <w:color w:val="444444"/>
        </w:rPr>
        <w:t> </w:t>
      </w:r>
      <w:r>
        <w:rPr>
          <w:color w:val="444444"/>
        </w:rPr>
        <w:t>or</w:t>
      </w:r>
      <w:r>
        <w:rPr>
          <w:rStyle w:val="apple-converted-space"/>
          <w:color w:val="444444"/>
        </w:rPr>
        <w:t> </w:t>
      </w:r>
      <w:hyperlink r:id="rId94" w:history="1">
        <w:r>
          <w:rPr>
            <w:rStyle w:val="Hyperlink"/>
            <w:color w:val="663399"/>
          </w:rPr>
          <w:t>section 206C</w:t>
        </w:r>
      </w:hyperlink>
      <w:r>
        <w:rPr>
          <w:rStyle w:val="apple-converted-space"/>
          <w:color w:val="444444"/>
        </w:rPr>
        <w:t> </w:t>
      </w:r>
      <w:r>
        <w:rPr>
          <w:color w:val="444444"/>
        </w:rPr>
        <w:t>to the person furnishing his return of income;</w:t>
      </w:r>
    </w:p>
    <w:p w:rsidR="00480514" w:rsidRDefault="00480514" w:rsidP="00480514">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b</w:t>
      </w:r>
      <w:r>
        <w:rPr>
          <w:color w:val="444444"/>
        </w:rPr>
        <w:t xml:space="preserve">) </w:t>
      </w:r>
      <w:proofErr w:type="gramStart"/>
      <w:r>
        <w:rPr>
          <w:color w:val="444444"/>
        </w:rPr>
        <w:t>such</w:t>
      </w:r>
      <w:proofErr w:type="gramEnd"/>
      <w:r>
        <w:rPr>
          <w:color w:val="444444"/>
        </w:rPr>
        <w:t xml:space="preserve"> certificate is produced within a period of two years specified under sub-section (14) of</w:t>
      </w:r>
      <w:r>
        <w:rPr>
          <w:rStyle w:val="apple-converted-space"/>
          <w:color w:val="444444"/>
        </w:rPr>
        <w:t> </w:t>
      </w:r>
      <w:hyperlink r:id="rId95" w:history="1">
        <w:r>
          <w:rPr>
            <w:rStyle w:val="Hyperlink"/>
            <w:color w:val="663399"/>
          </w:rPr>
          <w:t>section 155</w:t>
        </w:r>
      </w:hyperlink>
      <w:r>
        <w:rPr>
          <w:color w:val="444444"/>
        </w:rPr>
        <w:t>;</w:t>
      </w:r>
    </w:p>
    <w:p w:rsidR="00480514" w:rsidRDefault="00480514" w:rsidP="00480514">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ii</w:t>
      </w:r>
      <w:r>
        <w:rPr>
          <w:color w:val="444444"/>
        </w:rPr>
        <w:t xml:space="preserve">) </w:t>
      </w:r>
      <w:proofErr w:type="gramStart"/>
      <w:r>
        <w:rPr>
          <w:color w:val="444444"/>
        </w:rPr>
        <w:t>the</w:t>
      </w:r>
      <w:proofErr w:type="gramEnd"/>
      <w:r>
        <w:rPr>
          <w:color w:val="444444"/>
        </w:rPr>
        <w:t xml:space="preserve"> amount of compulsory deposit, if any, claimed to have been made under the Compulsory Deposit Scheme (Income-tax Payers) Act, 1974 (38 of 1974);</w:t>
      </w:r>
    </w:p>
    <w:p w:rsidR="00480514" w:rsidRDefault="00480514" w:rsidP="00480514">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d</w:t>
      </w:r>
      <w:r>
        <w:rPr>
          <w:color w:val="444444"/>
        </w:rPr>
        <w:t xml:space="preserve">) </w:t>
      </w:r>
      <w:proofErr w:type="gramStart"/>
      <w:r>
        <w:rPr>
          <w:color w:val="444444"/>
        </w:rPr>
        <w:t>where</w:t>
      </w:r>
      <w:proofErr w:type="gramEnd"/>
      <w:r>
        <w:rPr>
          <w:color w:val="444444"/>
        </w:rPr>
        <w:t xml:space="preserve"> regular books of account are maintained by the assessee, the return is accompanied by copies of—</w:t>
      </w:r>
    </w:p>
    <w:p w:rsidR="00480514" w:rsidRDefault="00480514" w:rsidP="00480514">
      <w:pPr>
        <w:pStyle w:val="indent2a"/>
        <w:shd w:val="clear" w:color="auto" w:fill="FFFFFF"/>
        <w:spacing w:before="0" w:beforeAutospacing="0" w:after="80" w:afterAutospacing="0"/>
        <w:ind w:left="1361" w:hanging="397"/>
        <w:jc w:val="both"/>
        <w:rPr>
          <w:color w:val="444444"/>
        </w:rPr>
      </w:pPr>
      <w:r>
        <w:rPr>
          <w:color w:val="444444"/>
        </w:rPr>
        <w:t>  (</w:t>
      </w:r>
      <w:r>
        <w:rPr>
          <w:i/>
          <w:iCs/>
          <w:color w:val="444444"/>
        </w:rPr>
        <w:t>i</w:t>
      </w:r>
      <w:r>
        <w:rPr>
          <w:color w:val="444444"/>
        </w:rPr>
        <w:t>) manufacturing account, trading account, profit and loss account or, as the case may be, income and expenditure account or any other similar account and balance sheet;</w:t>
      </w:r>
    </w:p>
    <w:p w:rsidR="00480514" w:rsidRDefault="00480514" w:rsidP="00480514">
      <w:pPr>
        <w:pStyle w:val="indent2a"/>
        <w:shd w:val="clear" w:color="auto" w:fill="FFFFFF"/>
        <w:spacing w:before="0" w:beforeAutospacing="0" w:after="80" w:afterAutospacing="0"/>
        <w:ind w:left="1361" w:hanging="397"/>
        <w:jc w:val="both"/>
        <w:rPr>
          <w:color w:val="444444"/>
        </w:rPr>
      </w:pPr>
      <w:r>
        <w:rPr>
          <w:color w:val="444444"/>
        </w:rPr>
        <w:t> (</w:t>
      </w:r>
      <w:r>
        <w:rPr>
          <w:i/>
          <w:iCs/>
          <w:color w:val="444444"/>
        </w:rPr>
        <w:t>ii</w:t>
      </w:r>
      <w:r>
        <w:rPr>
          <w:color w:val="444444"/>
        </w:rPr>
        <w:t>) in the case of a proprietary business or profession, the personal account of the proprietor; in the case of a firm, association of persons or body of individuals, personal accounts of the partners or members; and in the case of a partner or member of a firm, association of persons or body of individuals, also his personal account in the firm, association of persons or body of individuals;</w:t>
      </w:r>
    </w:p>
    <w:p w:rsidR="00480514" w:rsidRDefault="00480514" w:rsidP="00480514">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e</w:t>
      </w:r>
      <w:r>
        <w:rPr>
          <w:color w:val="444444"/>
        </w:rPr>
        <w:t>) where the accounts of the assessee have been audited, the return is accompanied by copies of the audited profit and loss account and balance sheet and the auditor's report and, where an audit of cost accounts of the assessee has been conducted, under section 233B of the Companies Act, 1956 (1 of 1956), also the report under that section;</w:t>
      </w:r>
    </w:p>
    <w:p w:rsidR="00480514" w:rsidRDefault="00480514" w:rsidP="00480514">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f</w:t>
      </w:r>
      <w:r>
        <w:rPr>
          <w:color w:val="444444"/>
        </w:rPr>
        <w:t>) where regular books of account are not maintained by the assessee, the return is accompanied by a statement indicating the amounts of turnover or, as the case may be, gross receipts, gross profit, expenses and net profit of the business or profession and the basis on which such amounts have been computed, and also disclosing the amounts of total sundry debtors, sundry creditors, stock-in-trade and cash balance as at the end of the previous year.</w:t>
      </w:r>
    </w:p>
    <w:p w:rsidR="00480514" w:rsidRDefault="00480514" w:rsidP="00480514">
      <w:pPr>
        <w:pStyle w:val="tx"/>
        <w:pBdr>
          <w:bottom w:val="single" w:sz="6" w:space="1" w:color="auto"/>
        </w:pBdr>
        <w:shd w:val="clear" w:color="auto" w:fill="FFFFFF"/>
        <w:spacing w:before="0" w:beforeAutospacing="0" w:after="80" w:afterAutospacing="0"/>
        <w:jc w:val="both"/>
        <w:rPr>
          <w:color w:val="444444"/>
        </w:rPr>
      </w:pPr>
      <w:r>
        <w:rPr>
          <w:color w:val="444444"/>
        </w:rPr>
        <w:t>(10) [</w:t>
      </w:r>
      <w:r>
        <w:rPr>
          <w:i/>
          <w:iCs/>
          <w:color w:val="444444"/>
        </w:rPr>
        <w:t>Omitted by the Finance (No. 2) Act, 1991, w.e.f. 1-4-1991.</w:t>
      </w:r>
      <w:r>
        <w:rPr>
          <w:color w:val="444444"/>
        </w:rPr>
        <w:t>]</w:t>
      </w:r>
    </w:p>
    <w:p w:rsidR="00480514" w:rsidRDefault="00480514" w:rsidP="00480514">
      <w:pPr>
        <w:pStyle w:val="tx"/>
        <w:pBdr>
          <w:bottom w:val="single" w:sz="6" w:space="1" w:color="auto"/>
        </w:pBdr>
        <w:shd w:val="clear" w:color="auto" w:fill="FFFFFF"/>
        <w:spacing w:before="0" w:beforeAutospacing="0" w:after="80" w:afterAutospacing="0"/>
        <w:jc w:val="both"/>
        <w:rPr>
          <w:color w:val="444444"/>
        </w:rPr>
      </w:pPr>
    </w:p>
    <w:p w:rsidR="00480514" w:rsidRDefault="00480514" w:rsidP="00480514"/>
    <w:p w:rsidR="00480514" w:rsidRPr="00A30526" w:rsidRDefault="00480514" w:rsidP="00480514">
      <w:pPr>
        <w:shd w:val="clear" w:color="auto" w:fill="F7F7F7"/>
        <w:spacing w:before="100" w:beforeAutospacing="1" w:after="100" w:afterAutospacing="1" w:line="240" w:lineRule="auto"/>
        <w:jc w:val="center"/>
        <w:outlineLvl w:val="2"/>
        <w:rPr>
          <w:rFonts w:ascii="Segoe UI Semilight" w:eastAsia="Times New Roman" w:hAnsi="Segoe UI Semilight" w:cs="Segoe UI Semilight"/>
          <w:color w:val="7C7C7C"/>
          <w:sz w:val="21"/>
          <w:szCs w:val="21"/>
          <w:lang w:eastAsia="en-IN" w:bidi="hi-IN"/>
        </w:rPr>
      </w:pPr>
      <w:r w:rsidRPr="00A30526">
        <w:rPr>
          <w:rFonts w:ascii="Segoe UI Semilight" w:eastAsia="Times New Roman" w:hAnsi="Segoe UI Semilight" w:cs="Segoe UI Semilight"/>
          <w:color w:val="7C7C7C"/>
          <w:sz w:val="21"/>
          <w:szCs w:val="21"/>
          <w:lang w:eastAsia="en-IN" w:bidi="hi-IN"/>
        </w:rPr>
        <w:t>Section - 32, Income-tax Act, 1961-2016</w:t>
      </w:r>
    </w:p>
    <w:p w:rsidR="00480514" w:rsidRPr="00A30526"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b/>
          <w:bCs/>
          <w:color w:val="444444"/>
          <w:sz w:val="24"/>
          <w:szCs w:val="24"/>
          <w:lang w:eastAsia="en-IN" w:bidi="hi-IN"/>
        </w:rPr>
        <w:t>Depreciation.</w:t>
      </w:r>
    </w:p>
    <w:p w:rsidR="00480514" w:rsidRPr="00A30526"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b/>
          <w:bCs/>
          <w:color w:val="444444"/>
          <w:sz w:val="24"/>
          <w:szCs w:val="24"/>
          <w:lang w:eastAsia="en-IN" w:bidi="hi-IN"/>
        </w:rPr>
        <w:t>32. </w:t>
      </w:r>
      <w:r w:rsidRPr="00A30526">
        <w:rPr>
          <w:rFonts w:ascii="Times New Roman" w:eastAsia="Times New Roman" w:hAnsi="Times New Roman" w:cs="Times New Roman"/>
          <w:color w:val="444444"/>
          <w:sz w:val="24"/>
          <w:szCs w:val="24"/>
          <w:lang w:eastAsia="en-IN" w:bidi="hi-IN"/>
        </w:rPr>
        <w:t>(1) In respect of depreciation of—</w:t>
      </w:r>
    </w:p>
    <w:p w:rsidR="00480514" w:rsidRPr="00A30526"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i/>
          <w:iCs/>
          <w:color w:val="444444"/>
          <w:sz w:val="24"/>
          <w:szCs w:val="24"/>
          <w:lang w:eastAsia="en-IN" w:bidi="hi-IN"/>
        </w:rPr>
        <w:t>i</w:t>
      </w:r>
      <w:r w:rsidRPr="00A30526">
        <w:rPr>
          <w:rFonts w:ascii="Times New Roman" w:eastAsia="Times New Roman" w:hAnsi="Times New Roman" w:cs="Times New Roman"/>
          <w:color w:val="444444"/>
          <w:sz w:val="24"/>
          <w:szCs w:val="24"/>
          <w:lang w:eastAsia="en-IN" w:bidi="hi-IN"/>
        </w:rPr>
        <w:t>) Buildings, machinery, plant or furniture, being tangible assets;</w:t>
      </w:r>
    </w:p>
    <w:p w:rsidR="00480514" w:rsidRPr="00A30526"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i/>
          <w:iCs/>
          <w:color w:val="444444"/>
          <w:sz w:val="24"/>
          <w:szCs w:val="24"/>
          <w:lang w:eastAsia="en-IN" w:bidi="hi-IN"/>
        </w:rPr>
        <w:t>ii</w:t>
      </w:r>
      <w:r w:rsidRPr="00A30526">
        <w:rPr>
          <w:rFonts w:ascii="Times New Roman" w:eastAsia="Times New Roman" w:hAnsi="Times New Roman" w:cs="Times New Roman"/>
          <w:color w:val="444444"/>
          <w:sz w:val="24"/>
          <w:szCs w:val="24"/>
          <w:lang w:eastAsia="en-IN" w:bidi="hi-IN"/>
        </w:rPr>
        <w:t>) know-how, patents, copyrights, trademarks, licences, franchises or any other business or commercial rights of similar nature, being intangible assets acquired on or after the 1st day of April, 1998,</w:t>
      </w:r>
    </w:p>
    <w:p w:rsidR="00480514" w:rsidRPr="00A30526"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Owned, wholly or partly, by the assessee and used for the purposes of the business or profession, the following deductions shall be allowed—</w:t>
      </w:r>
    </w:p>
    <w:p w:rsidR="00480514" w:rsidRPr="00A30526"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i/>
          <w:iCs/>
          <w:color w:val="444444"/>
          <w:sz w:val="24"/>
          <w:szCs w:val="24"/>
          <w:lang w:eastAsia="en-IN" w:bidi="hi-IN"/>
        </w:rPr>
        <w:t>i</w:t>
      </w:r>
      <w:r w:rsidRPr="00A30526">
        <w:rPr>
          <w:rFonts w:ascii="Times New Roman" w:eastAsia="Times New Roman" w:hAnsi="Times New Roman" w:cs="Times New Roman"/>
          <w:color w:val="444444"/>
          <w:sz w:val="24"/>
          <w:szCs w:val="24"/>
          <w:lang w:eastAsia="en-IN" w:bidi="hi-IN"/>
        </w:rPr>
        <w:t>) in the case of assets of an undertaking engaged in generation or generation and distribution of power, such percentage on the actual cost thereof to the assessee as may be prescribed</w:t>
      </w:r>
      <w:hyperlink r:id="rId96" w:history="1">
        <w:r w:rsidRPr="00A30526">
          <w:rPr>
            <w:rFonts w:ascii="Times New Roman" w:eastAsia="Times New Roman" w:hAnsi="Times New Roman" w:cs="Times New Roman"/>
            <w:color w:val="663399"/>
            <w:sz w:val="24"/>
            <w:szCs w:val="24"/>
            <w:vertAlign w:val="superscript"/>
            <w:lang w:eastAsia="en-IN" w:bidi="hi-IN"/>
          </w:rPr>
          <w:t>31</w:t>
        </w:r>
      </w:hyperlink>
      <w:r w:rsidRPr="00A30526">
        <w:rPr>
          <w:rFonts w:ascii="Times New Roman" w:eastAsia="Times New Roman" w:hAnsi="Times New Roman" w:cs="Times New Roman"/>
          <w:color w:val="444444"/>
          <w:sz w:val="24"/>
          <w:szCs w:val="24"/>
          <w:lang w:eastAsia="en-IN" w:bidi="hi-IN"/>
        </w:rPr>
        <w:t>;</w:t>
      </w:r>
    </w:p>
    <w:p w:rsidR="00480514" w:rsidRPr="00A30526"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i/>
          <w:iCs/>
          <w:color w:val="444444"/>
          <w:sz w:val="24"/>
          <w:szCs w:val="24"/>
          <w:lang w:eastAsia="en-IN" w:bidi="hi-IN"/>
        </w:rPr>
        <w:t>ii</w:t>
      </w:r>
      <w:r w:rsidRPr="00A30526">
        <w:rPr>
          <w:rFonts w:ascii="Times New Roman" w:eastAsia="Times New Roman" w:hAnsi="Times New Roman" w:cs="Times New Roman"/>
          <w:color w:val="444444"/>
          <w:sz w:val="24"/>
          <w:szCs w:val="24"/>
          <w:lang w:eastAsia="en-IN" w:bidi="hi-IN"/>
        </w:rPr>
        <w:t>) In the case of any block of assets, such percentage on the written down value thereof as may be prescribed</w:t>
      </w:r>
      <w:hyperlink r:id="rId97" w:history="1">
        <w:r w:rsidRPr="00A30526">
          <w:rPr>
            <w:rFonts w:ascii="Times New Roman" w:eastAsia="Times New Roman" w:hAnsi="Times New Roman" w:cs="Times New Roman"/>
            <w:color w:val="663399"/>
            <w:sz w:val="24"/>
            <w:szCs w:val="24"/>
            <w:vertAlign w:val="superscript"/>
            <w:lang w:eastAsia="en-IN" w:bidi="hi-IN"/>
          </w:rPr>
          <w:t>32</w:t>
        </w:r>
      </w:hyperlink>
      <w:r w:rsidRPr="00A30526">
        <w:rPr>
          <w:rFonts w:ascii="Times New Roman" w:eastAsia="Times New Roman" w:hAnsi="Times New Roman" w:cs="Times New Roman"/>
          <w:color w:val="444444"/>
          <w:sz w:val="24"/>
          <w:szCs w:val="24"/>
          <w:lang w:eastAsia="en-IN" w:bidi="hi-IN"/>
        </w:rPr>
        <w:t>:</w:t>
      </w:r>
    </w:p>
    <w:p w:rsidR="00480514" w:rsidRPr="00A30526" w:rsidRDefault="00480514" w:rsidP="00480514">
      <w:pPr>
        <w:shd w:val="clear" w:color="auto" w:fill="FFFFFF"/>
        <w:spacing w:after="80" w:line="240" w:lineRule="auto"/>
        <w:ind w:left="56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b/>
          <w:bCs/>
          <w:color w:val="444444"/>
          <w:sz w:val="24"/>
          <w:szCs w:val="24"/>
          <w:lang w:eastAsia="en-IN" w:bidi="hi-IN"/>
        </w:rPr>
        <w:t>Provided</w:t>
      </w:r>
      <w:r w:rsidRPr="00A30526">
        <w:rPr>
          <w:rFonts w:ascii="Times New Roman" w:eastAsia="Times New Roman" w:hAnsi="Times New Roman" w:cs="Times New Roman"/>
          <w:color w:val="444444"/>
          <w:sz w:val="24"/>
          <w:szCs w:val="24"/>
          <w:lang w:eastAsia="en-IN" w:bidi="hi-IN"/>
        </w:rPr>
        <w:t> that no deduction shall be allowed under this clause in respect of—</w:t>
      </w:r>
    </w:p>
    <w:p w:rsidR="00480514" w:rsidRPr="00A30526" w:rsidRDefault="00480514" w:rsidP="00480514">
      <w:pPr>
        <w:shd w:val="clear" w:color="auto" w:fill="FFFFFF"/>
        <w:spacing w:after="80" w:line="240" w:lineRule="auto"/>
        <w:ind w:left="1247" w:hanging="454"/>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i/>
          <w:iCs/>
          <w:color w:val="444444"/>
          <w:sz w:val="24"/>
          <w:szCs w:val="24"/>
          <w:lang w:eastAsia="en-IN" w:bidi="hi-IN"/>
        </w:rPr>
        <w:t>a</w:t>
      </w:r>
      <w:r w:rsidRPr="00A30526">
        <w:rPr>
          <w:rFonts w:ascii="Times New Roman" w:eastAsia="Times New Roman" w:hAnsi="Times New Roman" w:cs="Times New Roman"/>
          <w:color w:val="444444"/>
          <w:sz w:val="24"/>
          <w:szCs w:val="24"/>
          <w:lang w:eastAsia="en-IN" w:bidi="hi-IN"/>
        </w:rPr>
        <w:t>) Any motor car manufactured outside India, where such motor car is acquired by the assessee after the 28th day of February, 1975 but before the 1st day of April, 2001, unless it is used—</w:t>
      </w:r>
    </w:p>
    <w:p w:rsidR="00480514" w:rsidRPr="00A30526" w:rsidRDefault="00480514" w:rsidP="00480514">
      <w:pPr>
        <w:shd w:val="clear" w:color="auto" w:fill="FFFFFF"/>
        <w:spacing w:after="80" w:line="240" w:lineRule="auto"/>
        <w:ind w:left="1814" w:hanging="39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i/>
          <w:iCs/>
          <w:color w:val="444444"/>
          <w:sz w:val="24"/>
          <w:szCs w:val="24"/>
          <w:lang w:eastAsia="en-IN" w:bidi="hi-IN"/>
        </w:rPr>
        <w:t>i</w:t>
      </w:r>
      <w:r w:rsidRPr="00A30526">
        <w:rPr>
          <w:rFonts w:ascii="Times New Roman" w:eastAsia="Times New Roman" w:hAnsi="Times New Roman" w:cs="Times New Roman"/>
          <w:color w:val="444444"/>
          <w:sz w:val="24"/>
          <w:szCs w:val="24"/>
          <w:lang w:eastAsia="en-IN" w:bidi="hi-IN"/>
        </w:rPr>
        <w:t>) In a business of running it on hire for tourists; or</w:t>
      </w:r>
    </w:p>
    <w:p w:rsidR="00480514" w:rsidRPr="00A30526" w:rsidRDefault="00480514" w:rsidP="00480514">
      <w:pPr>
        <w:shd w:val="clear" w:color="auto" w:fill="FFFFFF"/>
        <w:spacing w:after="80" w:line="240" w:lineRule="auto"/>
        <w:ind w:left="1814" w:hanging="39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i/>
          <w:iCs/>
          <w:color w:val="444444"/>
          <w:sz w:val="24"/>
          <w:szCs w:val="24"/>
          <w:lang w:eastAsia="en-IN" w:bidi="hi-IN"/>
        </w:rPr>
        <w:t>ii</w:t>
      </w:r>
      <w:r w:rsidRPr="00A30526">
        <w:rPr>
          <w:rFonts w:ascii="Times New Roman" w:eastAsia="Times New Roman" w:hAnsi="Times New Roman" w:cs="Times New Roman"/>
          <w:color w:val="444444"/>
          <w:sz w:val="24"/>
          <w:szCs w:val="24"/>
          <w:lang w:eastAsia="en-IN" w:bidi="hi-IN"/>
        </w:rPr>
        <w:t>) Outside India in his business or profession in another country; and</w:t>
      </w:r>
    </w:p>
    <w:p w:rsidR="00480514" w:rsidRPr="00A30526" w:rsidRDefault="00480514" w:rsidP="00480514">
      <w:pPr>
        <w:shd w:val="clear" w:color="auto" w:fill="FFFFFF"/>
        <w:spacing w:after="80" w:line="240" w:lineRule="auto"/>
        <w:ind w:left="1247" w:hanging="454"/>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i/>
          <w:iCs/>
          <w:color w:val="444444"/>
          <w:sz w:val="24"/>
          <w:szCs w:val="24"/>
          <w:lang w:eastAsia="en-IN" w:bidi="hi-IN"/>
        </w:rPr>
        <w:t>b</w:t>
      </w:r>
      <w:r w:rsidRPr="00A30526">
        <w:rPr>
          <w:rFonts w:ascii="Times New Roman" w:eastAsia="Times New Roman" w:hAnsi="Times New Roman" w:cs="Times New Roman"/>
          <w:color w:val="444444"/>
          <w:sz w:val="24"/>
          <w:szCs w:val="24"/>
          <w:lang w:eastAsia="en-IN" w:bidi="hi-IN"/>
        </w:rPr>
        <w:t>) any machinery or plant if the actual cost thereof is allowed as a deduction in one or more years under an agreement entered into by the Central Government under </w:t>
      </w:r>
      <w:hyperlink r:id="rId98" w:history="1">
        <w:r w:rsidRPr="00A30526">
          <w:rPr>
            <w:rFonts w:ascii="Times New Roman" w:eastAsia="Times New Roman" w:hAnsi="Times New Roman" w:cs="Times New Roman"/>
            <w:color w:val="663399"/>
            <w:sz w:val="24"/>
            <w:szCs w:val="24"/>
            <w:lang w:eastAsia="en-IN" w:bidi="hi-IN"/>
          </w:rPr>
          <w:t>section 42</w:t>
        </w:r>
      </w:hyperlink>
      <w:r w:rsidRPr="00A30526">
        <w:rPr>
          <w:rFonts w:ascii="Times New Roman" w:eastAsia="Times New Roman" w:hAnsi="Times New Roman" w:cs="Times New Roman"/>
          <w:color w:val="444444"/>
          <w:sz w:val="24"/>
          <w:szCs w:val="24"/>
          <w:lang w:eastAsia="en-IN" w:bidi="hi-IN"/>
        </w:rPr>
        <w:t>:</w:t>
      </w:r>
    </w:p>
    <w:p w:rsidR="00480514" w:rsidRPr="00A30526" w:rsidRDefault="00480514" w:rsidP="00480514">
      <w:pPr>
        <w:shd w:val="clear" w:color="auto" w:fill="FFFFFF"/>
        <w:spacing w:after="80" w:line="240" w:lineRule="auto"/>
        <w:ind w:left="56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b/>
          <w:bCs/>
          <w:color w:val="444444"/>
          <w:sz w:val="24"/>
          <w:szCs w:val="24"/>
          <w:lang w:eastAsia="en-IN" w:bidi="hi-IN"/>
        </w:rPr>
        <w:t>Provided further </w:t>
      </w:r>
      <w:r w:rsidRPr="00A30526">
        <w:rPr>
          <w:rFonts w:ascii="Times New Roman" w:eastAsia="Times New Roman" w:hAnsi="Times New Roman" w:cs="Times New Roman"/>
          <w:color w:val="444444"/>
          <w:sz w:val="24"/>
          <w:szCs w:val="24"/>
          <w:lang w:eastAsia="en-IN" w:bidi="hi-IN"/>
        </w:rPr>
        <w:t>that where an asset referred to in clause (</w:t>
      </w:r>
      <w:r w:rsidRPr="00A30526">
        <w:rPr>
          <w:rFonts w:ascii="Times New Roman" w:eastAsia="Times New Roman" w:hAnsi="Times New Roman" w:cs="Times New Roman"/>
          <w:i/>
          <w:iCs/>
          <w:color w:val="444444"/>
          <w:sz w:val="24"/>
          <w:szCs w:val="24"/>
          <w:lang w:eastAsia="en-IN" w:bidi="hi-IN"/>
        </w:rPr>
        <w:t>i</w:t>
      </w:r>
      <w:r w:rsidRPr="00A30526">
        <w:rPr>
          <w:rFonts w:ascii="Times New Roman" w:eastAsia="Times New Roman" w:hAnsi="Times New Roman" w:cs="Times New Roman"/>
          <w:color w:val="444444"/>
          <w:sz w:val="24"/>
          <w:szCs w:val="24"/>
          <w:lang w:eastAsia="en-IN" w:bidi="hi-IN"/>
        </w:rPr>
        <w:t>) or clause (</w:t>
      </w:r>
      <w:r w:rsidRPr="00A30526">
        <w:rPr>
          <w:rFonts w:ascii="Times New Roman" w:eastAsia="Times New Roman" w:hAnsi="Times New Roman" w:cs="Times New Roman"/>
          <w:i/>
          <w:iCs/>
          <w:color w:val="444444"/>
          <w:sz w:val="24"/>
          <w:szCs w:val="24"/>
          <w:lang w:eastAsia="en-IN" w:bidi="hi-IN"/>
        </w:rPr>
        <w:t>ii</w:t>
      </w:r>
      <w:r w:rsidRPr="00A30526">
        <w:rPr>
          <w:rFonts w:ascii="Times New Roman" w:eastAsia="Times New Roman" w:hAnsi="Times New Roman" w:cs="Times New Roman"/>
          <w:color w:val="444444"/>
          <w:sz w:val="24"/>
          <w:szCs w:val="24"/>
          <w:lang w:eastAsia="en-IN" w:bidi="hi-IN"/>
        </w:rPr>
        <w:t>) or clause (</w:t>
      </w:r>
      <w:r w:rsidRPr="00A30526">
        <w:rPr>
          <w:rFonts w:ascii="Times New Roman" w:eastAsia="Times New Roman" w:hAnsi="Times New Roman" w:cs="Times New Roman"/>
          <w:i/>
          <w:iCs/>
          <w:color w:val="444444"/>
          <w:sz w:val="24"/>
          <w:szCs w:val="24"/>
          <w:lang w:eastAsia="en-IN" w:bidi="hi-IN"/>
        </w:rPr>
        <w:t>iia</w:t>
      </w:r>
      <w:r w:rsidRPr="00A30526">
        <w:rPr>
          <w:rFonts w:ascii="Times New Roman" w:eastAsia="Times New Roman" w:hAnsi="Times New Roman" w:cs="Times New Roman"/>
          <w:color w:val="444444"/>
          <w:sz w:val="24"/>
          <w:szCs w:val="24"/>
          <w:lang w:eastAsia="en-IN" w:bidi="hi-IN"/>
        </w:rPr>
        <w:t>) </w:t>
      </w:r>
      <w:hyperlink r:id="rId99" w:history="1">
        <w:r w:rsidRPr="00A30526">
          <w:rPr>
            <w:rFonts w:ascii="Times New Roman" w:eastAsia="Times New Roman" w:hAnsi="Times New Roman" w:cs="Times New Roman"/>
            <w:color w:val="663399"/>
            <w:sz w:val="24"/>
            <w:szCs w:val="24"/>
            <w:vertAlign w:val="superscript"/>
            <w:lang w:eastAsia="en-IN" w:bidi="hi-IN"/>
          </w:rPr>
          <w:t>33</w:t>
        </w:r>
      </w:hyperlink>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i/>
          <w:iCs/>
          <w:color w:val="444444"/>
          <w:sz w:val="24"/>
          <w:szCs w:val="24"/>
          <w:lang w:eastAsia="en-IN" w:bidi="hi-IN"/>
        </w:rPr>
        <w:t>or the first proviso to clause (</w:t>
      </w:r>
      <w:r w:rsidRPr="00A30526">
        <w:rPr>
          <w:rFonts w:ascii="Times New Roman" w:eastAsia="Times New Roman" w:hAnsi="Times New Roman" w:cs="Times New Roman"/>
          <w:color w:val="444444"/>
          <w:sz w:val="24"/>
          <w:szCs w:val="24"/>
          <w:lang w:eastAsia="en-IN" w:bidi="hi-IN"/>
        </w:rPr>
        <w:t>iia</w:t>
      </w:r>
      <w:r w:rsidRPr="00A30526">
        <w:rPr>
          <w:rFonts w:ascii="Times New Roman" w:eastAsia="Times New Roman" w:hAnsi="Times New Roman" w:cs="Times New Roman"/>
          <w:i/>
          <w:iCs/>
          <w:color w:val="444444"/>
          <w:sz w:val="24"/>
          <w:szCs w:val="24"/>
          <w:lang w:eastAsia="en-IN" w:bidi="hi-IN"/>
        </w:rPr>
        <w:t>)</w:t>
      </w:r>
      <w:r w:rsidRPr="00A30526">
        <w:rPr>
          <w:rFonts w:ascii="Times New Roman" w:eastAsia="Times New Roman" w:hAnsi="Times New Roman" w:cs="Times New Roman"/>
          <w:color w:val="444444"/>
          <w:sz w:val="24"/>
          <w:szCs w:val="24"/>
          <w:lang w:eastAsia="en-IN" w:bidi="hi-IN"/>
        </w:rPr>
        <w:t>], as the case may be, is acquired by the assessee during the previous year and is put to use for the purposes of business or profession for a period of less than one hundred and eighty days in that previous year, the deduction under this sub-section in respect of such asset shall be restricted to fifty per cent of the amount calculated at the percentage prescribed for an asset under clause (</w:t>
      </w:r>
      <w:r w:rsidRPr="00A30526">
        <w:rPr>
          <w:rFonts w:ascii="Times New Roman" w:eastAsia="Times New Roman" w:hAnsi="Times New Roman" w:cs="Times New Roman"/>
          <w:i/>
          <w:iCs/>
          <w:color w:val="444444"/>
          <w:sz w:val="24"/>
          <w:szCs w:val="24"/>
          <w:lang w:eastAsia="en-IN" w:bidi="hi-IN"/>
        </w:rPr>
        <w:t>i</w:t>
      </w:r>
      <w:r w:rsidRPr="00A30526">
        <w:rPr>
          <w:rFonts w:ascii="Times New Roman" w:eastAsia="Times New Roman" w:hAnsi="Times New Roman" w:cs="Times New Roman"/>
          <w:color w:val="444444"/>
          <w:sz w:val="24"/>
          <w:szCs w:val="24"/>
          <w:lang w:eastAsia="en-IN" w:bidi="hi-IN"/>
        </w:rPr>
        <w:t>) or clause (</w:t>
      </w:r>
      <w:r w:rsidRPr="00A30526">
        <w:rPr>
          <w:rFonts w:ascii="Times New Roman" w:eastAsia="Times New Roman" w:hAnsi="Times New Roman" w:cs="Times New Roman"/>
          <w:i/>
          <w:iCs/>
          <w:color w:val="444444"/>
          <w:sz w:val="24"/>
          <w:szCs w:val="24"/>
          <w:lang w:eastAsia="en-IN" w:bidi="hi-IN"/>
        </w:rPr>
        <w:t>ii</w:t>
      </w:r>
      <w:r w:rsidRPr="00A30526">
        <w:rPr>
          <w:rFonts w:ascii="Times New Roman" w:eastAsia="Times New Roman" w:hAnsi="Times New Roman" w:cs="Times New Roman"/>
          <w:color w:val="444444"/>
          <w:sz w:val="24"/>
          <w:szCs w:val="24"/>
          <w:lang w:eastAsia="en-IN" w:bidi="hi-IN"/>
        </w:rPr>
        <w:t>) or clause (</w:t>
      </w:r>
      <w:r w:rsidRPr="00A30526">
        <w:rPr>
          <w:rFonts w:ascii="Times New Roman" w:eastAsia="Times New Roman" w:hAnsi="Times New Roman" w:cs="Times New Roman"/>
          <w:i/>
          <w:iCs/>
          <w:color w:val="444444"/>
          <w:sz w:val="24"/>
          <w:szCs w:val="24"/>
          <w:lang w:eastAsia="en-IN" w:bidi="hi-IN"/>
        </w:rPr>
        <w:t>iia</w:t>
      </w:r>
      <w:r w:rsidRPr="00A30526">
        <w:rPr>
          <w:rFonts w:ascii="Times New Roman" w:eastAsia="Times New Roman" w:hAnsi="Times New Roman" w:cs="Times New Roman"/>
          <w:color w:val="444444"/>
          <w:sz w:val="24"/>
          <w:szCs w:val="24"/>
          <w:lang w:eastAsia="en-IN" w:bidi="hi-IN"/>
        </w:rPr>
        <w:t>), as the case may be :</w:t>
      </w:r>
    </w:p>
    <w:p w:rsidR="00480514" w:rsidRPr="00A30526" w:rsidRDefault="00480514" w:rsidP="00480514">
      <w:pPr>
        <w:shd w:val="clear" w:color="auto" w:fill="FFFFFF"/>
        <w:spacing w:after="80" w:line="240" w:lineRule="auto"/>
        <w:ind w:left="567"/>
        <w:jc w:val="both"/>
        <w:rPr>
          <w:rFonts w:ascii="Times New Roman" w:eastAsia="Times New Roman" w:hAnsi="Times New Roman" w:cs="Times New Roman"/>
          <w:color w:val="444444"/>
          <w:sz w:val="24"/>
          <w:szCs w:val="24"/>
          <w:lang w:eastAsia="en-IN" w:bidi="hi-IN"/>
        </w:rPr>
      </w:pPr>
      <w:hyperlink r:id="rId100" w:history="1">
        <w:r w:rsidRPr="00A30526">
          <w:rPr>
            <w:rFonts w:ascii="Times New Roman" w:eastAsia="Times New Roman" w:hAnsi="Times New Roman" w:cs="Times New Roman"/>
            <w:color w:val="663399"/>
            <w:sz w:val="24"/>
            <w:szCs w:val="24"/>
            <w:vertAlign w:val="superscript"/>
            <w:lang w:eastAsia="en-IN" w:bidi="hi-IN"/>
          </w:rPr>
          <w:t>33a</w:t>
        </w:r>
      </w:hyperlink>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b/>
          <w:bCs/>
          <w:color w:val="444444"/>
          <w:sz w:val="24"/>
          <w:szCs w:val="24"/>
          <w:lang w:eastAsia="en-IN" w:bidi="hi-IN"/>
        </w:rPr>
        <w:t>Provided also </w:t>
      </w:r>
      <w:r w:rsidRPr="00A30526">
        <w:rPr>
          <w:rFonts w:ascii="Times New Roman" w:eastAsia="Times New Roman" w:hAnsi="Times New Roman" w:cs="Times New Roman"/>
          <w:i/>
          <w:iCs/>
          <w:color w:val="444444"/>
          <w:sz w:val="24"/>
          <w:szCs w:val="24"/>
          <w:lang w:eastAsia="en-IN" w:bidi="hi-IN"/>
        </w:rPr>
        <w:t>that where an asset referred to in clause (</w:t>
      </w:r>
      <w:r w:rsidRPr="00A30526">
        <w:rPr>
          <w:rFonts w:ascii="Times New Roman" w:eastAsia="Times New Roman" w:hAnsi="Times New Roman" w:cs="Times New Roman"/>
          <w:color w:val="444444"/>
          <w:sz w:val="24"/>
          <w:szCs w:val="24"/>
          <w:lang w:eastAsia="en-IN" w:bidi="hi-IN"/>
        </w:rPr>
        <w:t>iia</w:t>
      </w:r>
      <w:r w:rsidRPr="00A30526">
        <w:rPr>
          <w:rFonts w:ascii="Times New Roman" w:eastAsia="Times New Roman" w:hAnsi="Times New Roman" w:cs="Times New Roman"/>
          <w:i/>
          <w:iCs/>
          <w:color w:val="444444"/>
          <w:sz w:val="24"/>
          <w:szCs w:val="24"/>
          <w:lang w:eastAsia="en-IN" w:bidi="hi-IN"/>
        </w:rPr>
        <w:t>)or the first proviso to clause (</w:t>
      </w:r>
      <w:r w:rsidRPr="00A30526">
        <w:rPr>
          <w:rFonts w:ascii="Times New Roman" w:eastAsia="Times New Roman" w:hAnsi="Times New Roman" w:cs="Times New Roman"/>
          <w:color w:val="444444"/>
          <w:sz w:val="24"/>
          <w:szCs w:val="24"/>
          <w:lang w:eastAsia="en-IN" w:bidi="hi-IN"/>
        </w:rPr>
        <w:t>iia</w:t>
      </w:r>
      <w:r w:rsidRPr="00A30526">
        <w:rPr>
          <w:rFonts w:ascii="Times New Roman" w:eastAsia="Times New Roman" w:hAnsi="Times New Roman" w:cs="Times New Roman"/>
          <w:i/>
          <w:iCs/>
          <w:color w:val="444444"/>
          <w:sz w:val="24"/>
          <w:szCs w:val="24"/>
          <w:lang w:eastAsia="en-IN" w:bidi="hi-IN"/>
        </w:rPr>
        <w:t>)</w:t>
      </w:r>
      <w:r w:rsidRPr="00A30526">
        <w:rPr>
          <w:rFonts w:ascii="Times New Roman" w:eastAsia="Times New Roman" w:hAnsi="Times New Roman" w:cs="Times New Roman"/>
          <w:color w:val="444444"/>
          <w:sz w:val="24"/>
          <w:szCs w:val="24"/>
          <w:lang w:eastAsia="en-IN" w:bidi="hi-IN"/>
        </w:rPr>
        <w:t>, </w:t>
      </w:r>
      <w:r w:rsidRPr="00A30526">
        <w:rPr>
          <w:rFonts w:ascii="Times New Roman" w:eastAsia="Times New Roman" w:hAnsi="Times New Roman" w:cs="Times New Roman"/>
          <w:i/>
          <w:iCs/>
          <w:color w:val="444444"/>
          <w:sz w:val="24"/>
          <w:szCs w:val="24"/>
          <w:lang w:eastAsia="en-IN" w:bidi="hi-IN"/>
        </w:rPr>
        <w:t>as the case may be, is acquired by the assessee during the previous year and is put to use for the purposes of business for a period of less than one hundred and eighty days in that previous year, and the deduction under this sub-section in respect of such asset is restricted to fifty per cent of the amount calculated at the percentage prescribed for an asset under clause (</w:t>
      </w:r>
      <w:r w:rsidRPr="00A30526">
        <w:rPr>
          <w:rFonts w:ascii="Times New Roman" w:eastAsia="Times New Roman" w:hAnsi="Times New Roman" w:cs="Times New Roman"/>
          <w:color w:val="444444"/>
          <w:sz w:val="24"/>
          <w:szCs w:val="24"/>
          <w:lang w:eastAsia="en-IN" w:bidi="hi-IN"/>
        </w:rPr>
        <w:t>iia</w:t>
      </w:r>
      <w:r w:rsidRPr="00A30526">
        <w:rPr>
          <w:rFonts w:ascii="Times New Roman" w:eastAsia="Times New Roman" w:hAnsi="Times New Roman" w:cs="Times New Roman"/>
          <w:i/>
          <w:iCs/>
          <w:color w:val="444444"/>
          <w:sz w:val="24"/>
          <w:szCs w:val="24"/>
          <w:lang w:eastAsia="en-IN" w:bidi="hi-IN"/>
        </w:rPr>
        <w:t xml:space="preserve">)for that previous year, then, the deduction for the balance </w:t>
      </w:r>
      <w:r w:rsidRPr="00A30526">
        <w:rPr>
          <w:rFonts w:ascii="Times New Roman" w:eastAsia="Times New Roman" w:hAnsi="Times New Roman" w:cs="Times New Roman"/>
          <w:i/>
          <w:iCs/>
          <w:color w:val="444444"/>
          <w:sz w:val="24"/>
          <w:szCs w:val="24"/>
          <w:lang w:eastAsia="en-IN" w:bidi="hi-IN"/>
        </w:rPr>
        <w:lastRenderedPageBreak/>
        <w:t>fifty per cent of the amount calculated at the percentage prescribed for such asset under clause (</w:t>
      </w:r>
      <w:r w:rsidRPr="00A30526">
        <w:rPr>
          <w:rFonts w:ascii="Times New Roman" w:eastAsia="Times New Roman" w:hAnsi="Times New Roman" w:cs="Times New Roman"/>
          <w:color w:val="444444"/>
          <w:sz w:val="24"/>
          <w:szCs w:val="24"/>
          <w:lang w:eastAsia="en-IN" w:bidi="hi-IN"/>
        </w:rPr>
        <w:t>iia</w:t>
      </w:r>
      <w:r w:rsidRPr="00A30526">
        <w:rPr>
          <w:rFonts w:ascii="Times New Roman" w:eastAsia="Times New Roman" w:hAnsi="Times New Roman" w:cs="Times New Roman"/>
          <w:i/>
          <w:iCs/>
          <w:color w:val="444444"/>
          <w:sz w:val="24"/>
          <w:szCs w:val="24"/>
          <w:lang w:eastAsia="en-IN" w:bidi="hi-IN"/>
        </w:rPr>
        <w:t>)shall be allowed under this sub-section in the immediately succeeding previous year in respect of such asset:</w:t>
      </w:r>
      <w:r w:rsidRPr="00A30526">
        <w:rPr>
          <w:rFonts w:ascii="Times New Roman" w:eastAsia="Times New Roman" w:hAnsi="Times New Roman" w:cs="Times New Roman"/>
          <w:color w:val="444444"/>
          <w:sz w:val="24"/>
          <w:szCs w:val="24"/>
          <w:lang w:eastAsia="en-IN" w:bidi="hi-IN"/>
        </w:rPr>
        <w:t>]</w:t>
      </w:r>
    </w:p>
    <w:p w:rsidR="00480514" w:rsidRPr="00A30526" w:rsidRDefault="00480514" w:rsidP="00480514">
      <w:pPr>
        <w:shd w:val="clear" w:color="auto" w:fill="FFFFFF"/>
        <w:spacing w:after="80" w:line="240" w:lineRule="auto"/>
        <w:ind w:left="56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b/>
          <w:bCs/>
          <w:color w:val="444444"/>
          <w:sz w:val="24"/>
          <w:szCs w:val="24"/>
          <w:lang w:eastAsia="en-IN" w:bidi="hi-IN"/>
        </w:rPr>
        <w:t>Provided also </w:t>
      </w:r>
      <w:r w:rsidRPr="00A30526">
        <w:rPr>
          <w:rFonts w:ascii="Times New Roman" w:eastAsia="Times New Roman" w:hAnsi="Times New Roman" w:cs="Times New Roman"/>
          <w:color w:val="444444"/>
          <w:sz w:val="24"/>
          <w:szCs w:val="24"/>
          <w:lang w:eastAsia="en-IN" w:bidi="hi-IN"/>
        </w:rPr>
        <w:t>that where an asset being commercial vehicle is acquired by the assessee on or after the 1st day of October, 1998 but before the 1st day of April, 1999 and is put to use before the 1st day of April, 1999 for the purposes of business or profession, the deduction in respect of such asset shall be allowed on such percentage on the written down value thereof as may be prescribed.</w:t>
      </w:r>
    </w:p>
    <w:p w:rsidR="00480514" w:rsidRPr="00A30526" w:rsidRDefault="00480514" w:rsidP="00480514">
      <w:pPr>
        <w:shd w:val="clear" w:color="auto" w:fill="FFFFFF"/>
        <w:spacing w:after="80" w:line="240" w:lineRule="auto"/>
        <w:ind w:left="56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i/>
          <w:iCs/>
          <w:color w:val="444444"/>
          <w:sz w:val="24"/>
          <w:szCs w:val="24"/>
          <w:lang w:eastAsia="en-IN" w:bidi="hi-IN"/>
        </w:rPr>
        <w:t>Explanation.—</w:t>
      </w:r>
      <w:r w:rsidRPr="00A30526">
        <w:rPr>
          <w:rFonts w:ascii="Times New Roman" w:eastAsia="Times New Roman" w:hAnsi="Times New Roman" w:cs="Times New Roman"/>
          <w:color w:val="444444"/>
          <w:sz w:val="24"/>
          <w:szCs w:val="24"/>
          <w:lang w:eastAsia="en-IN" w:bidi="hi-IN"/>
        </w:rPr>
        <w:t>for the purposes of this proviso,—</w:t>
      </w:r>
    </w:p>
    <w:p w:rsidR="00480514" w:rsidRPr="00A30526" w:rsidRDefault="00480514" w:rsidP="00480514">
      <w:pPr>
        <w:shd w:val="clear" w:color="auto" w:fill="FFFFFF"/>
        <w:spacing w:after="80" w:line="240" w:lineRule="auto"/>
        <w:ind w:left="1247" w:hanging="454"/>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i/>
          <w:iCs/>
          <w:color w:val="444444"/>
          <w:sz w:val="24"/>
          <w:szCs w:val="24"/>
          <w:lang w:eastAsia="en-IN" w:bidi="hi-IN"/>
        </w:rPr>
        <w:t>a</w:t>
      </w:r>
      <w:r w:rsidRPr="00A30526">
        <w:rPr>
          <w:rFonts w:ascii="Times New Roman" w:eastAsia="Times New Roman" w:hAnsi="Times New Roman" w:cs="Times New Roman"/>
          <w:color w:val="444444"/>
          <w:sz w:val="24"/>
          <w:szCs w:val="24"/>
          <w:lang w:eastAsia="en-IN" w:bidi="hi-IN"/>
        </w:rPr>
        <w:t>) the expression "commercial vehicle" means "heavy goods vehicle", "heavy passenger motor vehicle", "light motor vehicle", "medium goods vehicle" and "medium passenger motor vehicle" but does not include "maxi-cab", "motor-cab", "tractor" and "road-roller";</w:t>
      </w:r>
    </w:p>
    <w:p w:rsidR="00480514" w:rsidRPr="00A30526" w:rsidRDefault="00480514" w:rsidP="00480514">
      <w:pPr>
        <w:shd w:val="clear" w:color="auto" w:fill="FFFFFF"/>
        <w:spacing w:after="80" w:line="240" w:lineRule="auto"/>
        <w:ind w:left="1247" w:hanging="454"/>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i/>
          <w:iCs/>
          <w:color w:val="444444"/>
          <w:sz w:val="24"/>
          <w:szCs w:val="24"/>
          <w:lang w:eastAsia="en-IN" w:bidi="hi-IN"/>
        </w:rPr>
        <w:t>b</w:t>
      </w:r>
      <w:r w:rsidRPr="00A30526">
        <w:rPr>
          <w:rFonts w:ascii="Times New Roman" w:eastAsia="Times New Roman" w:hAnsi="Times New Roman" w:cs="Times New Roman"/>
          <w:color w:val="444444"/>
          <w:sz w:val="24"/>
          <w:szCs w:val="24"/>
          <w:lang w:eastAsia="en-IN" w:bidi="hi-IN"/>
        </w:rPr>
        <w:t>) the expressions "heavy goods vehicle", "heavy passenger motor vehicle", "light motor vehicle", "medium goods vehicle", "medium passenger motor vehicle", "maxi-cab", "motor-cab", "tractor" and "road roller" shall have the meanings respectively as assigned to them in section 2 of the Motor Vehicles Act, 1988 (59 of 1988):</w:t>
      </w:r>
    </w:p>
    <w:p w:rsidR="00480514" w:rsidRPr="00A30526" w:rsidRDefault="00480514" w:rsidP="00480514">
      <w:pPr>
        <w:shd w:val="clear" w:color="auto" w:fill="FFFFFF"/>
        <w:spacing w:after="80" w:line="240" w:lineRule="auto"/>
        <w:ind w:left="56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b/>
          <w:bCs/>
          <w:color w:val="444444"/>
          <w:sz w:val="24"/>
          <w:szCs w:val="24"/>
          <w:lang w:eastAsia="en-IN" w:bidi="hi-IN"/>
        </w:rPr>
        <w:t>Provided also</w:t>
      </w:r>
      <w:r w:rsidRPr="00A30526">
        <w:rPr>
          <w:rFonts w:ascii="Times New Roman" w:eastAsia="Times New Roman" w:hAnsi="Times New Roman" w:cs="Times New Roman"/>
          <w:color w:val="444444"/>
          <w:sz w:val="24"/>
          <w:szCs w:val="24"/>
          <w:lang w:eastAsia="en-IN" w:bidi="hi-IN"/>
        </w:rPr>
        <w:t> that, in respect of the previous year relevant to the assessment year commencing on the 1st day of April, 1991, the deduction in relation to any block of assets under this clause shall, in the case of a company, be restricted to seventy-five per cent of the amount calculated at the percentage, on the written down value of such assets, prescribed under this Act immediately before the commencement of the Taxation Laws (Amendment) Act, 1991:</w:t>
      </w:r>
    </w:p>
    <w:p w:rsidR="00480514" w:rsidRPr="00A30526" w:rsidRDefault="00480514" w:rsidP="00480514">
      <w:pPr>
        <w:shd w:val="clear" w:color="auto" w:fill="FFFFFF"/>
        <w:spacing w:after="80" w:line="240" w:lineRule="auto"/>
        <w:ind w:left="56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b/>
          <w:bCs/>
          <w:color w:val="444444"/>
          <w:sz w:val="24"/>
          <w:szCs w:val="24"/>
          <w:lang w:eastAsia="en-IN" w:bidi="hi-IN"/>
        </w:rPr>
        <w:t>Provided also </w:t>
      </w:r>
      <w:r w:rsidRPr="00A30526">
        <w:rPr>
          <w:rFonts w:ascii="Times New Roman" w:eastAsia="Times New Roman" w:hAnsi="Times New Roman" w:cs="Times New Roman"/>
          <w:color w:val="444444"/>
          <w:sz w:val="24"/>
          <w:szCs w:val="24"/>
          <w:lang w:eastAsia="en-IN" w:bidi="hi-IN"/>
        </w:rPr>
        <w:t>that the aggregate deduction, in respect of depreciation of buildings, machinery, plant or furniture, being tangible assets or know-how, patents, copyrights, trademarks, licences, franchises or any other business or commercial rights of similar nature, being intangible assets allowable to the predecessor and the successor in the case of succession referred to in clause (</w:t>
      </w:r>
      <w:r w:rsidRPr="00A30526">
        <w:rPr>
          <w:rFonts w:ascii="Times New Roman" w:eastAsia="Times New Roman" w:hAnsi="Times New Roman" w:cs="Times New Roman"/>
          <w:i/>
          <w:iCs/>
          <w:color w:val="444444"/>
          <w:sz w:val="24"/>
          <w:szCs w:val="24"/>
          <w:lang w:eastAsia="en-IN" w:bidi="hi-IN"/>
        </w:rPr>
        <w:t>xiii</w:t>
      </w:r>
      <w:r w:rsidRPr="00A30526">
        <w:rPr>
          <w:rFonts w:ascii="Times New Roman" w:eastAsia="Times New Roman" w:hAnsi="Times New Roman" w:cs="Times New Roman"/>
          <w:color w:val="444444"/>
          <w:sz w:val="24"/>
          <w:szCs w:val="24"/>
          <w:lang w:eastAsia="en-IN" w:bidi="hi-IN"/>
        </w:rPr>
        <w:t>), clause (</w:t>
      </w:r>
      <w:r w:rsidRPr="00A30526">
        <w:rPr>
          <w:rFonts w:ascii="Times New Roman" w:eastAsia="Times New Roman" w:hAnsi="Times New Roman" w:cs="Times New Roman"/>
          <w:i/>
          <w:iCs/>
          <w:color w:val="444444"/>
          <w:sz w:val="24"/>
          <w:szCs w:val="24"/>
          <w:lang w:eastAsia="en-IN" w:bidi="hi-IN"/>
        </w:rPr>
        <w:t>xiiib</w:t>
      </w:r>
      <w:r w:rsidRPr="00A30526">
        <w:rPr>
          <w:rFonts w:ascii="Times New Roman" w:eastAsia="Times New Roman" w:hAnsi="Times New Roman" w:cs="Times New Roman"/>
          <w:color w:val="444444"/>
          <w:sz w:val="24"/>
          <w:szCs w:val="24"/>
          <w:lang w:eastAsia="en-IN" w:bidi="hi-IN"/>
        </w:rPr>
        <w:t>) and clause (</w:t>
      </w:r>
      <w:r w:rsidRPr="00A30526">
        <w:rPr>
          <w:rFonts w:ascii="Times New Roman" w:eastAsia="Times New Roman" w:hAnsi="Times New Roman" w:cs="Times New Roman"/>
          <w:i/>
          <w:iCs/>
          <w:color w:val="444444"/>
          <w:sz w:val="24"/>
          <w:szCs w:val="24"/>
          <w:lang w:eastAsia="en-IN" w:bidi="hi-IN"/>
        </w:rPr>
        <w:t>xiv</w:t>
      </w:r>
      <w:r w:rsidRPr="00A30526">
        <w:rPr>
          <w:rFonts w:ascii="Times New Roman" w:eastAsia="Times New Roman" w:hAnsi="Times New Roman" w:cs="Times New Roman"/>
          <w:color w:val="444444"/>
          <w:sz w:val="24"/>
          <w:szCs w:val="24"/>
          <w:lang w:eastAsia="en-IN" w:bidi="hi-IN"/>
        </w:rPr>
        <w:t>)of </w:t>
      </w:r>
      <w:hyperlink r:id="rId101" w:history="1">
        <w:r w:rsidRPr="00A30526">
          <w:rPr>
            <w:rFonts w:ascii="Times New Roman" w:eastAsia="Times New Roman" w:hAnsi="Times New Roman" w:cs="Times New Roman"/>
            <w:color w:val="663399"/>
            <w:sz w:val="24"/>
            <w:szCs w:val="24"/>
            <w:lang w:eastAsia="en-IN" w:bidi="hi-IN"/>
          </w:rPr>
          <w:t>section 47</w:t>
        </w:r>
      </w:hyperlink>
      <w:r w:rsidRPr="00A30526">
        <w:rPr>
          <w:rFonts w:ascii="Times New Roman" w:eastAsia="Times New Roman" w:hAnsi="Times New Roman" w:cs="Times New Roman"/>
          <w:color w:val="444444"/>
          <w:sz w:val="24"/>
          <w:szCs w:val="24"/>
          <w:lang w:eastAsia="en-IN" w:bidi="hi-IN"/>
        </w:rPr>
        <w:t> or </w:t>
      </w:r>
      <w:hyperlink r:id="rId102" w:history="1">
        <w:r w:rsidRPr="00A30526">
          <w:rPr>
            <w:rFonts w:ascii="Times New Roman" w:eastAsia="Times New Roman" w:hAnsi="Times New Roman" w:cs="Times New Roman"/>
            <w:color w:val="663399"/>
            <w:sz w:val="24"/>
            <w:szCs w:val="24"/>
            <w:lang w:eastAsia="en-IN" w:bidi="hi-IN"/>
          </w:rPr>
          <w:t>section 170</w:t>
        </w:r>
      </w:hyperlink>
      <w:r w:rsidRPr="00A30526">
        <w:rPr>
          <w:rFonts w:ascii="Times New Roman" w:eastAsia="Times New Roman" w:hAnsi="Times New Roman" w:cs="Times New Roman"/>
          <w:color w:val="444444"/>
          <w:sz w:val="24"/>
          <w:szCs w:val="24"/>
          <w:lang w:eastAsia="en-IN" w:bidi="hi-IN"/>
        </w:rPr>
        <w:t> or to the amalgamating company and the amalgamated company in the case of amalgamation, or to the demerged company and the resulting company in the case of demerger, as the case may be, shall not exceed in any previous year the deduction calculated at the prescribed rates as if the succession or the amalgamation or the demerger, as the case may be, had not taken place, and such deduction shall be apportioned between the predecessor and the successor, or the amalgamating company and the amalgamated company, or the demerged company and the resulting company, as the case may be, in the ratio of the number of days for which the assets were used by them.</w:t>
      </w:r>
    </w:p>
    <w:p w:rsidR="00480514" w:rsidRPr="00A30526" w:rsidRDefault="00480514" w:rsidP="00480514">
      <w:pPr>
        <w:shd w:val="clear" w:color="auto" w:fill="FFFFFF"/>
        <w:spacing w:after="80" w:line="240" w:lineRule="auto"/>
        <w:ind w:left="56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i/>
          <w:iCs/>
          <w:color w:val="444444"/>
          <w:sz w:val="24"/>
          <w:szCs w:val="24"/>
          <w:lang w:eastAsia="en-IN" w:bidi="hi-IN"/>
        </w:rPr>
        <w:t>Explanation 1.</w:t>
      </w:r>
      <w:r w:rsidRPr="00A30526">
        <w:rPr>
          <w:rFonts w:ascii="Times New Roman" w:eastAsia="Times New Roman" w:hAnsi="Times New Roman" w:cs="Times New Roman"/>
          <w:color w:val="444444"/>
          <w:sz w:val="24"/>
          <w:szCs w:val="24"/>
          <w:lang w:eastAsia="en-IN" w:bidi="hi-IN"/>
        </w:rPr>
        <w:t xml:space="preserve">—Where the business or profession of the assessee is carried on in a building not owned by him but in respect of which the assessee holds a lease or other right of occupancy and any capital expenditure is incurred by the assessee for the </w:t>
      </w:r>
      <w:r w:rsidRPr="00A30526">
        <w:rPr>
          <w:rFonts w:ascii="Times New Roman" w:eastAsia="Times New Roman" w:hAnsi="Times New Roman" w:cs="Times New Roman"/>
          <w:color w:val="444444"/>
          <w:sz w:val="24"/>
          <w:szCs w:val="24"/>
          <w:lang w:eastAsia="en-IN" w:bidi="hi-IN"/>
        </w:rPr>
        <w:lastRenderedPageBreak/>
        <w:t>purposes of the business or profession on the construction of any structure or doing of any work in or in relation to, and by way of renovation or extension of, or improvement to, the building, then, the provisions of this clause shall apply as if the said structure or work is a building owned by the assessee.</w:t>
      </w:r>
    </w:p>
    <w:p w:rsidR="00480514" w:rsidRPr="00A30526" w:rsidRDefault="00480514" w:rsidP="00480514">
      <w:pPr>
        <w:shd w:val="clear" w:color="auto" w:fill="FFFFFF"/>
        <w:spacing w:after="80" w:line="240" w:lineRule="auto"/>
        <w:ind w:left="56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i/>
          <w:iCs/>
          <w:color w:val="444444"/>
          <w:sz w:val="24"/>
          <w:szCs w:val="24"/>
          <w:lang w:eastAsia="en-IN" w:bidi="hi-IN"/>
        </w:rPr>
        <w:t>Explanation 2.</w:t>
      </w:r>
      <w:r w:rsidRPr="00A30526">
        <w:rPr>
          <w:rFonts w:ascii="Times New Roman" w:eastAsia="Times New Roman" w:hAnsi="Times New Roman" w:cs="Times New Roman"/>
          <w:color w:val="444444"/>
          <w:sz w:val="24"/>
          <w:szCs w:val="24"/>
          <w:lang w:eastAsia="en-IN" w:bidi="hi-IN"/>
        </w:rPr>
        <w:t>—for the purposes of this sub-section "written down value of the block of assets" shall have the same meaning as in clause</w:t>
      </w:r>
      <w:hyperlink r:id="rId103" w:history="1">
        <w:r w:rsidRPr="00A30526">
          <w:rPr>
            <w:rFonts w:ascii="Times New Roman" w:eastAsia="Times New Roman" w:hAnsi="Times New Roman" w:cs="Times New Roman"/>
            <w:color w:val="663399"/>
            <w:sz w:val="24"/>
            <w:szCs w:val="24"/>
            <w:lang w:eastAsia="en-IN" w:bidi="hi-IN"/>
          </w:rPr>
          <w:t>*</w:t>
        </w:r>
      </w:hyperlink>
      <w:r w:rsidRPr="00A30526">
        <w:rPr>
          <w:rFonts w:ascii="Times New Roman" w:eastAsia="Times New Roman" w:hAnsi="Times New Roman" w:cs="Times New Roman"/>
          <w:color w:val="444444"/>
          <w:sz w:val="24"/>
          <w:szCs w:val="24"/>
          <w:lang w:eastAsia="en-IN" w:bidi="hi-IN"/>
        </w:rPr>
        <w:t> (</w:t>
      </w:r>
      <w:r w:rsidRPr="00A30526">
        <w:rPr>
          <w:rFonts w:ascii="Times New Roman" w:eastAsia="Times New Roman" w:hAnsi="Times New Roman" w:cs="Times New Roman"/>
          <w:i/>
          <w:iCs/>
          <w:color w:val="444444"/>
          <w:sz w:val="24"/>
          <w:szCs w:val="24"/>
          <w:lang w:eastAsia="en-IN" w:bidi="hi-IN"/>
        </w:rPr>
        <w:t>c</w:t>
      </w:r>
      <w:r w:rsidRPr="00A30526">
        <w:rPr>
          <w:rFonts w:ascii="Times New Roman" w:eastAsia="Times New Roman" w:hAnsi="Times New Roman" w:cs="Times New Roman"/>
          <w:color w:val="444444"/>
          <w:sz w:val="24"/>
          <w:szCs w:val="24"/>
          <w:lang w:eastAsia="en-IN" w:bidi="hi-IN"/>
        </w:rPr>
        <w:t>) of sub-section</w:t>
      </w:r>
      <w:hyperlink r:id="rId104" w:history="1">
        <w:r w:rsidRPr="00A30526">
          <w:rPr>
            <w:rFonts w:ascii="Times New Roman" w:eastAsia="Times New Roman" w:hAnsi="Times New Roman" w:cs="Times New Roman"/>
            <w:color w:val="663399"/>
            <w:sz w:val="24"/>
            <w:szCs w:val="24"/>
            <w:lang w:eastAsia="en-IN" w:bidi="hi-IN"/>
          </w:rPr>
          <w:t>†</w:t>
        </w:r>
      </w:hyperlink>
      <w:r w:rsidRPr="00A30526">
        <w:rPr>
          <w:rFonts w:ascii="Times New Roman" w:eastAsia="Times New Roman" w:hAnsi="Times New Roman" w:cs="Times New Roman"/>
          <w:color w:val="444444"/>
          <w:sz w:val="24"/>
          <w:szCs w:val="24"/>
          <w:lang w:eastAsia="en-IN" w:bidi="hi-IN"/>
        </w:rPr>
        <w:t> (</w:t>
      </w:r>
      <w:r w:rsidRPr="00A30526">
        <w:rPr>
          <w:rFonts w:ascii="Times New Roman" w:eastAsia="Times New Roman" w:hAnsi="Times New Roman" w:cs="Times New Roman"/>
          <w:i/>
          <w:iCs/>
          <w:color w:val="444444"/>
          <w:sz w:val="24"/>
          <w:szCs w:val="24"/>
          <w:lang w:eastAsia="en-IN" w:bidi="hi-IN"/>
        </w:rPr>
        <w:t>6</w:t>
      </w:r>
      <w:r w:rsidRPr="00A30526">
        <w:rPr>
          <w:rFonts w:ascii="Times New Roman" w:eastAsia="Times New Roman" w:hAnsi="Times New Roman" w:cs="Times New Roman"/>
          <w:color w:val="444444"/>
          <w:sz w:val="24"/>
          <w:szCs w:val="24"/>
          <w:lang w:eastAsia="en-IN" w:bidi="hi-IN"/>
        </w:rPr>
        <w:t>) of </w:t>
      </w:r>
      <w:hyperlink r:id="rId105" w:history="1">
        <w:r w:rsidRPr="00A30526">
          <w:rPr>
            <w:rFonts w:ascii="Times New Roman" w:eastAsia="Times New Roman" w:hAnsi="Times New Roman" w:cs="Times New Roman"/>
            <w:color w:val="663399"/>
            <w:sz w:val="24"/>
            <w:szCs w:val="24"/>
            <w:lang w:eastAsia="en-IN" w:bidi="hi-IN"/>
          </w:rPr>
          <w:t>section 43</w:t>
        </w:r>
      </w:hyperlink>
      <w:r w:rsidRPr="00A30526">
        <w:rPr>
          <w:rFonts w:ascii="Times New Roman" w:eastAsia="Times New Roman" w:hAnsi="Times New Roman" w:cs="Times New Roman"/>
          <w:color w:val="444444"/>
          <w:sz w:val="24"/>
          <w:szCs w:val="24"/>
          <w:lang w:eastAsia="en-IN" w:bidi="hi-IN"/>
        </w:rPr>
        <w:t>.</w:t>
      </w:r>
    </w:p>
    <w:p w:rsidR="00480514" w:rsidRPr="00A30526" w:rsidRDefault="00480514" w:rsidP="00480514">
      <w:pPr>
        <w:shd w:val="clear" w:color="auto" w:fill="FFFFFF"/>
        <w:spacing w:after="80" w:line="240" w:lineRule="auto"/>
        <w:ind w:left="56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i/>
          <w:iCs/>
          <w:color w:val="444444"/>
          <w:sz w:val="24"/>
          <w:szCs w:val="24"/>
          <w:lang w:eastAsia="en-IN" w:bidi="hi-IN"/>
        </w:rPr>
        <w:t>Explanation 3.—</w:t>
      </w:r>
      <w:r w:rsidRPr="00A30526">
        <w:rPr>
          <w:rFonts w:ascii="Times New Roman" w:eastAsia="Times New Roman" w:hAnsi="Times New Roman" w:cs="Times New Roman"/>
          <w:color w:val="444444"/>
          <w:sz w:val="24"/>
          <w:szCs w:val="24"/>
          <w:lang w:eastAsia="en-IN" w:bidi="hi-IN"/>
        </w:rPr>
        <w:t>for the purposes of this sub-section, the expression "assets" shall mean—</w:t>
      </w:r>
    </w:p>
    <w:p w:rsidR="00480514" w:rsidRPr="00A30526" w:rsidRDefault="00480514" w:rsidP="00480514">
      <w:pPr>
        <w:shd w:val="clear" w:color="auto" w:fill="FFFFFF"/>
        <w:spacing w:after="80" w:line="240" w:lineRule="auto"/>
        <w:ind w:left="1247" w:hanging="454"/>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i/>
          <w:iCs/>
          <w:color w:val="444444"/>
          <w:sz w:val="24"/>
          <w:szCs w:val="24"/>
          <w:lang w:eastAsia="en-IN" w:bidi="hi-IN"/>
        </w:rPr>
        <w:t>a</w:t>
      </w:r>
      <w:r w:rsidRPr="00A30526">
        <w:rPr>
          <w:rFonts w:ascii="Times New Roman" w:eastAsia="Times New Roman" w:hAnsi="Times New Roman" w:cs="Times New Roman"/>
          <w:color w:val="444444"/>
          <w:sz w:val="24"/>
          <w:szCs w:val="24"/>
          <w:lang w:eastAsia="en-IN" w:bidi="hi-IN"/>
        </w:rPr>
        <w:t>) Tangible assets, being buildings, machinery, plant or furniture;</w:t>
      </w:r>
    </w:p>
    <w:p w:rsidR="00480514" w:rsidRPr="00A30526" w:rsidRDefault="00480514" w:rsidP="00480514">
      <w:pPr>
        <w:shd w:val="clear" w:color="auto" w:fill="FFFFFF"/>
        <w:spacing w:after="80" w:line="240" w:lineRule="auto"/>
        <w:ind w:left="1247" w:hanging="454"/>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i/>
          <w:iCs/>
          <w:color w:val="444444"/>
          <w:sz w:val="24"/>
          <w:szCs w:val="24"/>
          <w:lang w:eastAsia="en-IN" w:bidi="hi-IN"/>
        </w:rPr>
        <w:t>b</w:t>
      </w:r>
      <w:r w:rsidRPr="00A30526">
        <w:rPr>
          <w:rFonts w:ascii="Times New Roman" w:eastAsia="Times New Roman" w:hAnsi="Times New Roman" w:cs="Times New Roman"/>
          <w:color w:val="444444"/>
          <w:sz w:val="24"/>
          <w:szCs w:val="24"/>
          <w:lang w:eastAsia="en-IN" w:bidi="hi-IN"/>
        </w:rPr>
        <w:t>) intangible assets, being know-how, patents, copyrights, trademarks, licences, franchises or any other business or commercial rights of similar nature.</w:t>
      </w:r>
    </w:p>
    <w:p w:rsidR="00480514" w:rsidRPr="00A30526" w:rsidRDefault="00480514" w:rsidP="00480514">
      <w:pPr>
        <w:shd w:val="clear" w:color="auto" w:fill="FFFFFF"/>
        <w:spacing w:after="80" w:line="240" w:lineRule="auto"/>
        <w:ind w:left="56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i/>
          <w:iCs/>
          <w:color w:val="444444"/>
          <w:sz w:val="24"/>
          <w:szCs w:val="24"/>
          <w:lang w:eastAsia="en-IN" w:bidi="hi-IN"/>
        </w:rPr>
        <w:t>Explanation 4.—</w:t>
      </w:r>
      <w:r w:rsidRPr="00A30526">
        <w:rPr>
          <w:rFonts w:ascii="Times New Roman" w:eastAsia="Times New Roman" w:hAnsi="Times New Roman" w:cs="Times New Roman"/>
          <w:color w:val="444444"/>
          <w:sz w:val="24"/>
          <w:szCs w:val="24"/>
          <w:lang w:eastAsia="en-IN" w:bidi="hi-IN"/>
        </w:rPr>
        <w:t>For the purposes of this sub-section, the expression "know-how" means any industrial information or technique likely to assist in the manufacture or processing of goods or in the working of a mine, oil-well or other sources of mineral deposits (including searching for discovery or testing of deposits for the winning of access thereto).</w:t>
      </w:r>
    </w:p>
    <w:p w:rsidR="00480514" w:rsidRPr="00A30526" w:rsidRDefault="00480514" w:rsidP="00480514">
      <w:pPr>
        <w:shd w:val="clear" w:color="auto" w:fill="FFFFFF"/>
        <w:spacing w:after="80" w:line="240" w:lineRule="auto"/>
        <w:ind w:left="56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i/>
          <w:iCs/>
          <w:color w:val="444444"/>
          <w:sz w:val="24"/>
          <w:szCs w:val="24"/>
          <w:lang w:eastAsia="en-IN" w:bidi="hi-IN"/>
        </w:rPr>
        <w:t>Explanation 5.—</w:t>
      </w:r>
      <w:r w:rsidRPr="00A30526">
        <w:rPr>
          <w:rFonts w:ascii="Times New Roman" w:eastAsia="Times New Roman" w:hAnsi="Times New Roman" w:cs="Times New Roman"/>
          <w:color w:val="444444"/>
          <w:sz w:val="24"/>
          <w:szCs w:val="24"/>
          <w:lang w:eastAsia="en-IN" w:bidi="hi-IN"/>
        </w:rPr>
        <w:t>For the removal of doubts, it is hereby declared that the provisions of this sub-section shall apply whether or not the assessee has claimed the deduction in respect of depreciation in computing his total income;</w:t>
      </w:r>
    </w:p>
    <w:p w:rsidR="00480514" w:rsidRPr="00A30526"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i/>
          <w:iCs/>
          <w:color w:val="444444"/>
          <w:sz w:val="24"/>
          <w:szCs w:val="24"/>
          <w:lang w:eastAsia="en-IN" w:bidi="hi-IN"/>
        </w:rPr>
        <w:t>iia</w:t>
      </w:r>
      <w:r w:rsidRPr="00A30526">
        <w:rPr>
          <w:rFonts w:ascii="Times New Roman" w:eastAsia="Times New Roman" w:hAnsi="Times New Roman" w:cs="Times New Roman"/>
          <w:color w:val="444444"/>
          <w:sz w:val="24"/>
          <w:szCs w:val="24"/>
          <w:lang w:eastAsia="en-IN" w:bidi="hi-IN"/>
        </w:rPr>
        <w:t>) in the case of any new machinery or plant (other than ships and aircraft), which has been acquired and installed after the 31st day of March, 2005, by an assessee engaged in the business of manufacture or production of any article or thing </w:t>
      </w:r>
      <w:hyperlink r:id="rId106" w:history="1">
        <w:r w:rsidRPr="00A30526">
          <w:rPr>
            <w:rFonts w:ascii="Times New Roman" w:eastAsia="Times New Roman" w:hAnsi="Times New Roman" w:cs="Times New Roman"/>
            <w:color w:val="663399"/>
            <w:sz w:val="24"/>
            <w:szCs w:val="24"/>
            <w:vertAlign w:val="superscript"/>
            <w:lang w:eastAsia="en-IN" w:bidi="hi-IN"/>
          </w:rPr>
          <w:t>34</w:t>
        </w:r>
      </w:hyperlink>
      <w:r w:rsidRPr="00A30526">
        <w:rPr>
          <w:rFonts w:ascii="Times New Roman" w:eastAsia="Times New Roman" w:hAnsi="Times New Roman" w:cs="Times New Roman"/>
          <w:b/>
          <w:bCs/>
          <w:color w:val="444444"/>
          <w:sz w:val="24"/>
          <w:szCs w:val="24"/>
          <w:lang w:eastAsia="en-IN" w:bidi="hi-IN"/>
        </w:rPr>
        <w:t>[</w:t>
      </w:r>
      <w:r w:rsidRPr="00A30526">
        <w:rPr>
          <w:rFonts w:ascii="Times New Roman" w:eastAsia="Times New Roman" w:hAnsi="Times New Roman" w:cs="Times New Roman"/>
          <w:i/>
          <w:iCs/>
          <w:color w:val="444444"/>
          <w:sz w:val="24"/>
          <w:szCs w:val="24"/>
          <w:lang w:eastAsia="en-IN" w:bidi="hi-IN"/>
        </w:rPr>
        <w:t>or in the business of generation or generation and distribution</w:t>
      </w:r>
      <w:r w:rsidRPr="00A30526">
        <w:rPr>
          <w:rFonts w:ascii="Times New Roman" w:eastAsia="Times New Roman" w:hAnsi="Times New Roman" w:cs="Times New Roman"/>
          <w:b/>
          <w:bCs/>
          <w:color w:val="444444"/>
          <w:sz w:val="24"/>
          <w:szCs w:val="24"/>
          <w:lang w:eastAsia="en-IN" w:bidi="hi-IN"/>
        </w:rPr>
        <w:t>]</w:t>
      </w:r>
      <w:r w:rsidRPr="00A30526">
        <w:rPr>
          <w:rFonts w:ascii="Times New Roman" w:eastAsia="Times New Roman" w:hAnsi="Times New Roman" w:cs="Times New Roman"/>
          <w:color w:val="444444"/>
          <w:sz w:val="24"/>
          <w:szCs w:val="24"/>
          <w:lang w:eastAsia="en-IN" w:bidi="hi-IN"/>
        </w:rPr>
        <w:t> of power, a further sum equal to twenty per cent of the actual cost of such machinery or plant shall be allowed as deduction under clause (</w:t>
      </w:r>
      <w:r w:rsidRPr="00A30526">
        <w:rPr>
          <w:rFonts w:ascii="Times New Roman" w:eastAsia="Times New Roman" w:hAnsi="Times New Roman" w:cs="Times New Roman"/>
          <w:i/>
          <w:iCs/>
          <w:color w:val="444444"/>
          <w:sz w:val="24"/>
          <w:szCs w:val="24"/>
          <w:lang w:eastAsia="en-IN" w:bidi="hi-IN"/>
        </w:rPr>
        <w:t>ii</w:t>
      </w:r>
      <w:r w:rsidRPr="00A30526">
        <w:rPr>
          <w:rFonts w:ascii="Times New Roman" w:eastAsia="Times New Roman" w:hAnsi="Times New Roman" w:cs="Times New Roman"/>
          <w:color w:val="444444"/>
          <w:sz w:val="24"/>
          <w:szCs w:val="24"/>
          <w:lang w:eastAsia="en-IN" w:bidi="hi-IN"/>
        </w:rPr>
        <w:t>) :</w:t>
      </w:r>
    </w:p>
    <w:p w:rsidR="00480514" w:rsidRPr="00A30526" w:rsidRDefault="00480514" w:rsidP="00480514">
      <w:pPr>
        <w:shd w:val="clear" w:color="auto" w:fill="FFFFFF"/>
        <w:spacing w:after="80" w:line="240" w:lineRule="auto"/>
        <w:ind w:left="567"/>
        <w:jc w:val="both"/>
        <w:rPr>
          <w:rFonts w:ascii="Times New Roman" w:eastAsia="Times New Roman" w:hAnsi="Times New Roman" w:cs="Times New Roman"/>
          <w:color w:val="444444"/>
          <w:sz w:val="24"/>
          <w:szCs w:val="24"/>
          <w:lang w:eastAsia="en-IN" w:bidi="hi-IN"/>
        </w:rPr>
      </w:pPr>
      <w:hyperlink r:id="rId107" w:history="1">
        <w:r w:rsidRPr="00A30526">
          <w:rPr>
            <w:rFonts w:ascii="Times New Roman" w:eastAsia="Times New Roman" w:hAnsi="Times New Roman" w:cs="Times New Roman"/>
            <w:color w:val="663399"/>
            <w:sz w:val="24"/>
            <w:szCs w:val="24"/>
            <w:vertAlign w:val="superscript"/>
            <w:lang w:eastAsia="en-IN" w:bidi="hi-IN"/>
          </w:rPr>
          <w:t>35</w:t>
        </w:r>
      </w:hyperlink>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b/>
          <w:bCs/>
          <w:color w:val="444444"/>
          <w:sz w:val="24"/>
          <w:szCs w:val="24"/>
          <w:lang w:eastAsia="en-IN" w:bidi="hi-IN"/>
        </w:rPr>
        <w:t>Provided </w:t>
      </w:r>
      <w:r w:rsidRPr="00A30526">
        <w:rPr>
          <w:rFonts w:ascii="Times New Roman" w:eastAsia="Times New Roman" w:hAnsi="Times New Roman" w:cs="Times New Roman"/>
          <w:i/>
          <w:iCs/>
          <w:color w:val="444444"/>
          <w:sz w:val="24"/>
          <w:szCs w:val="24"/>
          <w:lang w:eastAsia="en-IN" w:bidi="hi-IN"/>
        </w:rPr>
        <w:t>that where an assessee, sets up an undertaking or enterprise for manufacture or production of any article or thing, on or after the 1st day of April, 2015 in any backward area notified by the Central Government in this behalf, in the State of Andhra Pradesh or in the State of Bihar or in the State of Telangana or in the State of West Bengal, and acquires and installs any new machinery or plant (other than ships and aircraft) for the purposes of the said undertaking or enterprise during the period beginning on the 1st day of April, 2015 and ending before the 1st day of April, 2020 in the said backward area, then, the provisions of clause (</w:t>
      </w:r>
      <w:r w:rsidRPr="00A30526">
        <w:rPr>
          <w:rFonts w:ascii="Times New Roman" w:eastAsia="Times New Roman" w:hAnsi="Times New Roman" w:cs="Times New Roman"/>
          <w:color w:val="444444"/>
          <w:sz w:val="24"/>
          <w:szCs w:val="24"/>
          <w:lang w:eastAsia="en-IN" w:bidi="hi-IN"/>
        </w:rPr>
        <w:t>iia</w:t>
      </w:r>
      <w:r w:rsidRPr="00A30526">
        <w:rPr>
          <w:rFonts w:ascii="Times New Roman" w:eastAsia="Times New Roman" w:hAnsi="Times New Roman" w:cs="Times New Roman"/>
          <w:i/>
          <w:iCs/>
          <w:color w:val="444444"/>
          <w:sz w:val="24"/>
          <w:szCs w:val="24"/>
          <w:lang w:eastAsia="en-IN" w:bidi="hi-IN"/>
        </w:rPr>
        <w:t>)shall have effect, as if for the words "twenty per cent", the words "thirty-five per cent" had been substituted :</w:t>
      </w:r>
      <w:r w:rsidRPr="00A30526">
        <w:rPr>
          <w:rFonts w:ascii="Times New Roman" w:eastAsia="Times New Roman" w:hAnsi="Times New Roman" w:cs="Times New Roman"/>
          <w:color w:val="444444"/>
          <w:sz w:val="24"/>
          <w:szCs w:val="24"/>
          <w:lang w:eastAsia="en-IN" w:bidi="hi-IN"/>
        </w:rPr>
        <w:t>]</w:t>
      </w:r>
    </w:p>
    <w:p w:rsidR="00480514" w:rsidRPr="00A30526" w:rsidRDefault="00480514" w:rsidP="00480514">
      <w:pPr>
        <w:shd w:val="clear" w:color="auto" w:fill="FFFFFF"/>
        <w:spacing w:after="80" w:line="240" w:lineRule="auto"/>
        <w:ind w:left="56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b/>
          <w:bCs/>
          <w:color w:val="444444"/>
          <w:sz w:val="24"/>
          <w:szCs w:val="24"/>
          <w:lang w:eastAsia="en-IN" w:bidi="hi-IN"/>
        </w:rPr>
        <w:t>Provided</w:t>
      </w:r>
      <w:r w:rsidRPr="00A30526">
        <w:rPr>
          <w:rFonts w:ascii="Times New Roman" w:eastAsia="Times New Roman" w:hAnsi="Times New Roman" w:cs="Times New Roman"/>
          <w:color w:val="444444"/>
          <w:sz w:val="24"/>
          <w:szCs w:val="24"/>
          <w:lang w:eastAsia="en-IN" w:bidi="hi-IN"/>
        </w:rPr>
        <w:t> </w:t>
      </w:r>
      <w:hyperlink r:id="rId108" w:history="1">
        <w:r w:rsidRPr="00A30526">
          <w:rPr>
            <w:rFonts w:ascii="Times New Roman" w:eastAsia="Times New Roman" w:hAnsi="Times New Roman" w:cs="Times New Roman"/>
            <w:color w:val="663399"/>
            <w:sz w:val="24"/>
            <w:szCs w:val="24"/>
            <w:vertAlign w:val="superscript"/>
            <w:lang w:eastAsia="en-IN" w:bidi="hi-IN"/>
          </w:rPr>
          <w:t>36</w:t>
        </w:r>
      </w:hyperlink>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b/>
          <w:bCs/>
          <w:i/>
          <w:iCs/>
          <w:color w:val="444444"/>
          <w:sz w:val="24"/>
          <w:szCs w:val="24"/>
          <w:lang w:eastAsia="en-IN" w:bidi="hi-IN"/>
        </w:rPr>
        <w:t>further</w:t>
      </w:r>
      <w:r w:rsidRPr="00A30526">
        <w:rPr>
          <w:rFonts w:ascii="Times New Roman" w:eastAsia="Times New Roman" w:hAnsi="Times New Roman" w:cs="Times New Roman"/>
          <w:color w:val="444444"/>
          <w:sz w:val="24"/>
          <w:szCs w:val="24"/>
          <w:lang w:eastAsia="en-IN" w:bidi="hi-IN"/>
        </w:rPr>
        <w:t>] that no deduction shall be allowed in respect of—</w:t>
      </w:r>
    </w:p>
    <w:p w:rsidR="00480514" w:rsidRPr="00A30526" w:rsidRDefault="00480514" w:rsidP="00480514">
      <w:pPr>
        <w:shd w:val="clear" w:color="auto" w:fill="FFFFFF"/>
        <w:spacing w:after="80" w:line="240" w:lineRule="auto"/>
        <w:ind w:left="1247" w:hanging="454"/>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i/>
          <w:iCs/>
          <w:color w:val="444444"/>
          <w:sz w:val="24"/>
          <w:szCs w:val="24"/>
          <w:lang w:eastAsia="en-IN" w:bidi="hi-IN"/>
        </w:rPr>
        <w:t>A</w:t>
      </w:r>
      <w:r w:rsidRPr="00A30526">
        <w:rPr>
          <w:rFonts w:ascii="Times New Roman" w:eastAsia="Times New Roman" w:hAnsi="Times New Roman" w:cs="Times New Roman"/>
          <w:color w:val="444444"/>
          <w:sz w:val="24"/>
          <w:szCs w:val="24"/>
          <w:lang w:eastAsia="en-IN" w:bidi="hi-IN"/>
        </w:rPr>
        <w:t>) Any machinery or plant which, before its installation by the assessee, was used either within or outside India by any other person; or</w:t>
      </w:r>
    </w:p>
    <w:p w:rsidR="00480514" w:rsidRPr="00A30526" w:rsidRDefault="00480514" w:rsidP="00480514">
      <w:pPr>
        <w:shd w:val="clear" w:color="auto" w:fill="FFFFFF"/>
        <w:spacing w:after="80" w:line="240" w:lineRule="auto"/>
        <w:ind w:left="1247" w:hanging="454"/>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i/>
          <w:iCs/>
          <w:color w:val="444444"/>
          <w:sz w:val="24"/>
          <w:szCs w:val="24"/>
          <w:lang w:eastAsia="en-IN" w:bidi="hi-IN"/>
        </w:rPr>
        <w:t>B</w:t>
      </w:r>
      <w:r w:rsidRPr="00A30526">
        <w:rPr>
          <w:rFonts w:ascii="Times New Roman" w:eastAsia="Times New Roman" w:hAnsi="Times New Roman" w:cs="Times New Roman"/>
          <w:color w:val="444444"/>
          <w:sz w:val="24"/>
          <w:szCs w:val="24"/>
          <w:lang w:eastAsia="en-IN" w:bidi="hi-IN"/>
        </w:rPr>
        <w:t>) Any machinery or plant installed in any office premises or any residential accommodation, including accommodation in the nature of a guest-house; or</w:t>
      </w:r>
    </w:p>
    <w:p w:rsidR="00480514" w:rsidRPr="00A30526" w:rsidRDefault="00480514" w:rsidP="00480514">
      <w:pPr>
        <w:shd w:val="clear" w:color="auto" w:fill="FFFFFF"/>
        <w:spacing w:after="80" w:line="240" w:lineRule="auto"/>
        <w:ind w:left="1247" w:hanging="454"/>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lastRenderedPageBreak/>
        <w:t>(</w:t>
      </w:r>
      <w:r w:rsidRPr="00A30526">
        <w:rPr>
          <w:rFonts w:ascii="Times New Roman" w:eastAsia="Times New Roman" w:hAnsi="Times New Roman" w:cs="Times New Roman"/>
          <w:i/>
          <w:iCs/>
          <w:color w:val="444444"/>
          <w:sz w:val="24"/>
          <w:szCs w:val="24"/>
          <w:lang w:eastAsia="en-IN" w:bidi="hi-IN"/>
        </w:rPr>
        <w:t>C</w:t>
      </w:r>
      <w:r w:rsidRPr="00A30526">
        <w:rPr>
          <w:rFonts w:ascii="Times New Roman" w:eastAsia="Times New Roman" w:hAnsi="Times New Roman" w:cs="Times New Roman"/>
          <w:color w:val="444444"/>
          <w:sz w:val="24"/>
          <w:szCs w:val="24"/>
          <w:lang w:eastAsia="en-IN" w:bidi="hi-IN"/>
        </w:rPr>
        <w:t>) Any office appliances or road transport vehicles; or</w:t>
      </w:r>
    </w:p>
    <w:p w:rsidR="00480514" w:rsidRPr="00A30526" w:rsidRDefault="00480514" w:rsidP="00480514">
      <w:pPr>
        <w:shd w:val="clear" w:color="auto" w:fill="FFFFFF"/>
        <w:spacing w:after="80" w:line="240" w:lineRule="auto"/>
        <w:ind w:left="1247" w:hanging="454"/>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i/>
          <w:iCs/>
          <w:color w:val="444444"/>
          <w:sz w:val="24"/>
          <w:szCs w:val="24"/>
          <w:lang w:eastAsia="en-IN" w:bidi="hi-IN"/>
        </w:rPr>
        <w:t>D</w:t>
      </w:r>
      <w:r w:rsidRPr="00A30526">
        <w:rPr>
          <w:rFonts w:ascii="Times New Roman" w:eastAsia="Times New Roman" w:hAnsi="Times New Roman" w:cs="Times New Roman"/>
          <w:color w:val="444444"/>
          <w:sz w:val="24"/>
          <w:szCs w:val="24"/>
          <w:lang w:eastAsia="en-IN" w:bidi="hi-IN"/>
        </w:rPr>
        <w:t>) Any machinery or plant, the whole of the actual cost of which is allowed as a deduction (whether by way of depreciation or otherwise) in computing the income chargeable under the head "Profits and gains of business or profession" of any one previous year;</w:t>
      </w:r>
    </w:p>
    <w:p w:rsidR="00480514" w:rsidRPr="00A30526"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i/>
          <w:iCs/>
          <w:color w:val="444444"/>
          <w:sz w:val="24"/>
          <w:szCs w:val="24"/>
          <w:lang w:eastAsia="en-IN" w:bidi="hi-IN"/>
        </w:rPr>
        <w:t>iii</w:t>
      </w:r>
      <w:r w:rsidRPr="00A30526">
        <w:rPr>
          <w:rFonts w:ascii="Times New Roman" w:eastAsia="Times New Roman" w:hAnsi="Times New Roman" w:cs="Times New Roman"/>
          <w:color w:val="444444"/>
          <w:sz w:val="24"/>
          <w:szCs w:val="24"/>
          <w:lang w:eastAsia="en-IN" w:bidi="hi-IN"/>
        </w:rPr>
        <w:t>) in the case of any building, machinery, plant or furniture in respect of which depreciation is claimed and allowed under clause (</w:t>
      </w:r>
      <w:r w:rsidRPr="00A30526">
        <w:rPr>
          <w:rFonts w:ascii="Times New Roman" w:eastAsia="Times New Roman" w:hAnsi="Times New Roman" w:cs="Times New Roman"/>
          <w:i/>
          <w:iCs/>
          <w:color w:val="444444"/>
          <w:sz w:val="24"/>
          <w:szCs w:val="24"/>
          <w:lang w:eastAsia="en-IN" w:bidi="hi-IN"/>
        </w:rPr>
        <w:t>i</w:t>
      </w:r>
      <w:r w:rsidRPr="00A30526">
        <w:rPr>
          <w:rFonts w:ascii="Times New Roman" w:eastAsia="Times New Roman" w:hAnsi="Times New Roman" w:cs="Times New Roman"/>
          <w:color w:val="444444"/>
          <w:sz w:val="24"/>
          <w:szCs w:val="24"/>
          <w:lang w:eastAsia="en-IN" w:bidi="hi-IN"/>
        </w:rPr>
        <w:t>) and which is sold, discarded, demolished or destroyed in the previous year (other than the previous year in which it is first brought into use), the amount by which the moneys payable in respect of such building, machinery, plant or furniture, together with the amount of scrap value, if any, fall short of the written down value thereof:</w:t>
      </w:r>
    </w:p>
    <w:p w:rsidR="00480514" w:rsidRPr="00A30526" w:rsidRDefault="00480514" w:rsidP="00480514">
      <w:pPr>
        <w:shd w:val="clear" w:color="auto" w:fill="FFFFFF"/>
        <w:spacing w:after="80" w:line="240" w:lineRule="auto"/>
        <w:ind w:left="56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b/>
          <w:bCs/>
          <w:color w:val="444444"/>
          <w:sz w:val="24"/>
          <w:szCs w:val="24"/>
          <w:lang w:eastAsia="en-IN" w:bidi="hi-IN"/>
        </w:rPr>
        <w:t>Provided </w:t>
      </w:r>
      <w:r w:rsidRPr="00A30526">
        <w:rPr>
          <w:rFonts w:ascii="Times New Roman" w:eastAsia="Times New Roman" w:hAnsi="Times New Roman" w:cs="Times New Roman"/>
          <w:color w:val="444444"/>
          <w:sz w:val="24"/>
          <w:szCs w:val="24"/>
          <w:lang w:eastAsia="en-IN" w:bidi="hi-IN"/>
        </w:rPr>
        <w:t>that such deficiency is actually written off in the books of the assessee.</w:t>
      </w:r>
    </w:p>
    <w:p w:rsidR="00480514" w:rsidRPr="00A30526" w:rsidRDefault="00480514" w:rsidP="00480514">
      <w:pPr>
        <w:shd w:val="clear" w:color="auto" w:fill="FFFFFF"/>
        <w:spacing w:after="80" w:line="240" w:lineRule="auto"/>
        <w:ind w:left="56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i/>
          <w:iCs/>
          <w:color w:val="444444"/>
          <w:sz w:val="24"/>
          <w:szCs w:val="24"/>
          <w:lang w:eastAsia="en-IN" w:bidi="hi-IN"/>
        </w:rPr>
        <w:t>Explanation.—</w:t>
      </w:r>
      <w:r w:rsidRPr="00A30526">
        <w:rPr>
          <w:rFonts w:ascii="Times New Roman" w:eastAsia="Times New Roman" w:hAnsi="Times New Roman" w:cs="Times New Roman"/>
          <w:color w:val="444444"/>
          <w:sz w:val="24"/>
          <w:szCs w:val="24"/>
          <w:lang w:eastAsia="en-IN" w:bidi="hi-IN"/>
        </w:rPr>
        <w:t>for the purposes of this clause,—</w:t>
      </w:r>
    </w:p>
    <w:p w:rsidR="00480514" w:rsidRPr="00A30526" w:rsidRDefault="00480514" w:rsidP="00480514">
      <w:pPr>
        <w:shd w:val="clear" w:color="auto" w:fill="FFFFFF"/>
        <w:spacing w:after="80" w:line="240" w:lineRule="auto"/>
        <w:ind w:left="1247" w:hanging="454"/>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i/>
          <w:iCs/>
          <w:color w:val="444444"/>
          <w:sz w:val="24"/>
          <w:szCs w:val="24"/>
          <w:lang w:eastAsia="en-IN" w:bidi="hi-IN"/>
        </w:rPr>
        <w:t>1</w:t>
      </w:r>
      <w:r w:rsidRPr="00A30526">
        <w:rPr>
          <w:rFonts w:ascii="Times New Roman" w:eastAsia="Times New Roman" w:hAnsi="Times New Roman" w:cs="Times New Roman"/>
          <w:color w:val="444444"/>
          <w:sz w:val="24"/>
          <w:szCs w:val="24"/>
          <w:lang w:eastAsia="en-IN" w:bidi="hi-IN"/>
        </w:rPr>
        <w:t>) "Moneys payable" in respect of any building, machinery, plant or furniture includes—</w:t>
      </w:r>
    </w:p>
    <w:p w:rsidR="00480514" w:rsidRPr="00A30526" w:rsidRDefault="00480514" w:rsidP="00480514">
      <w:pPr>
        <w:shd w:val="clear" w:color="auto" w:fill="FFFFFF"/>
        <w:spacing w:after="80" w:line="240" w:lineRule="auto"/>
        <w:ind w:left="1814" w:hanging="39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i/>
          <w:iCs/>
          <w:color w:val="444444"/>
          <w:sz w:val="24"/>
          <w:szCs w:val="24"/>
          <w:lang w:eastAsia="en-IN" w:bidi="hi-IN"/>
        </w:rPr>
        <w:t>a</w:t>
      </w:r>
      <w:r w:rsidRPr="00A30526">
        <w:rPr>
          <w:rFonts w:ascii="Times New Roman" w:eastAsia="Times New Roman" w:hAnsi="Times New Roman" w:cs="Times New Roman"/>
          <w:color w:val="444444"/>
          <w:sz w:val="24"/>
          <w:szCs w:val="24"/>
          <w:lang w:eastAsia="en-IN" w:bidi="hi-IN"/>
        </w:rPr>
        <w:t>) Any insurance, salvage or compensation moneys payable in respect thereof;</w:t>
      </w:r>
    </w:p>
    <w:p w:rsidR="00480514" w:rsidRPr="00A30526" w:rsidRDefault="00480514" w:rsidP="00480514">
      <w:pPr>
        <w:shd w:val="clear" w:color="auto" w:fill="FFFFFF"/>
        <w:spacing w:after="80" w:line="240" w:lineRule="auto"/>
        <w:ind w:left="1814" w:hanging="39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i/>
          <w:iCs/>
          <w:color w:val="444444"/>
          <w:sz w:val="24"/>
          <w:szCs w:val="24"/>
          <w:lang w:eastAsia="en-IN" w:bidi="hi-IN"/>
        </w:rPr>
        <w:t>b</w:t>
      </w:r>
      <w:r w:rsidRPr="00A30526">
        <w:rPr>
          <w:rFonts w:ascii="Times New Roman" w:eastAsia="Times New Roman" w:hAnsi="Times New Roman" w:cs="Times New Roman"/>
          <w:color w:val="444444"/>
          <w:sz w:val="24"/>
          <w:szCs w:val="24"/>
          <w:lang w:eastAsia="en-IN" w:bidi="hi-IN"/>
        </w:rPr>
        <w:t>) Where the building, machinery, plant or furniture is sold, the price for which it is sold,</w:t>
      </w:r>
    </w:p>
    <w:p w:rsidR="00480514" w:rsidRPr="00A30526" w:rsidRDefault="00480514" w:rsidP="00480514">
      <w:pPr>
        <w:shd w:val="clear" w:color="auto" w:fill="FFFFFF"/>
        <w:spacing w:after="80" w:line="240" w:lineRule="auto"/>
        <w:ind w:left="124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so, however, that where the actual cost of a motor car is, in accordance with the proviso to clause (</w:t>
      </w:r>
      <w:r w:rsidRPr="00A30526">
        <w:rPr>
          <w:rFonts w:ascii="Times New Roman" w:eastAsia="Times New Roman" w:hAnsi="Times New Roman" w:cs="Times New Roman"/>
          <w:i/>
          <w:iCs/>
          <w:color w:val="444444"/>
          <w:sz w:val="24"/>
          <w:szCs w:val="24"/>
          <w:lang w:eastAsia="en-IN" w:bidi="hi-IN"/>
        </w:rPr>
        <w:t>1</w:t>
      </w:r>
      <w:r w:rsidRPr="00A30526">
        <w:rPr>
          <w:rFonts w:ascii="Times New Roman" w:eastAsia="Times New Roman" w:hAnsi="Times New Roman" w:cs="Times New Roman"/>
          <w:color w:val="444444"/>
          <w:sz w:val="24"/>
          <w:szCs w:val="24"/>
          <w:lang w:eastAsia="en-IN" w:bidi="hi-IN"/>
        </w:rPr>
        <w:t>) of </w:t>
      </w:r>
      <w:hyperlink r:id="rId109" w:history="1">
        <w:r w:rsidRPr="00A30526">
          <w:rPr>
            <w:rFonts w:ascii="Times New Roman" w:eastAsia="Times New Roman" w:hAnsi="Times New Roman" w:cs="Times New Roman"/>
            <w:color w:val="663399"/>
            <w:sz w:val="24"/>
            <w:szCs w:val="24"/>
            <w:lang w:eastAsia="en-IN" w:bidi="hi-IN"/>
          </w:rPr>
          <w:t>section 43</w:t>
        </w:r>
      </w:hyperlink>
      <w:r w:rsidRPr="00A30526">
        <w:rPr>
          <w:rFonts w:ascii="Times New Roman" w:eastAsia="Times New Roman" w:hAnsi="Times New Roman" w:cs="Times New Roman"/>
          <w:color w:val="444444"/>
          <w:sz w:val="24"/>
          <w:szCs w:val="24"/>
          <w:lang w:eastAsia="en-IN" w:bidi="hi-IN"/>
        </w:rPr>
        <w:t>, taken to be twenty-five thousand rupees, the moneys payable in respect of such motor car shall be taken to be a sum which bears to the amount for which the motor car is sold or, as the case may be, the amount of any insurance, salvage or compensation moneys payable in respect thereof (including the amount of scrap value, if any) the same proportion as the amount of twenty-five thousand rupees bears to the actual cost of the motor car to the assessee as it would have been computed before applying the said proviso;</w:t>
      </w:r>
    </w:p>
    <w:p w:rsidR="00480514" w:rsidRPr="00A30526" w:rsidRDefault="00480514" w:rsidP="00480514">
      <w:pPr>
        <w:shd w:val="clear" w:color="auto" w:fill="FFFFFF"/>
        <w:spacing w:after="80" w:line="240" w:lineRule="auto"/>
        <w:ind w:left="1247" w:hanging="454"/>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i/>
          <w:iCs/>
          <w:color w:val="444444"/>
          <w:sz w:val="24"/>
          <w:szCs w:val="24"/>
          <w:lang w:eastAsia="en-IN" w:bidi="hi-IN"/>
        </w:rPr>
        <w:t>2</w:t>
      </w:r>
      <w:r w:rsidRPr="00A30526">
        <w:rPr>
          <w:rFonts w:ascii="Times New Roman" w:eastAsia="Times New Roman" w:hAnsi="Times New Roman" w:cs="Times New Roman"/>
          <w:color w:val="444444"/>
          <w:sz w:val="24"/>
          <w:szCs w:val="24"/>
          <w:lang w:eastAsia="en-IN" w:bidi="hi-IN"/>
        </w:rPr>
        <w:t>) "sold" includes a transfer by way of exchange or a compulsory acquisition under any law for the time being in force but does not include a transfer, in a scheme of amalgamation, of any asset by the amalgamating company to the amalgamated company where the amalgamated company is an Indian company or in a scheme of amalgamation of a banking company, as referred to in clause (</w:t>
      </w:r>
      <w:r w:rsidRPr="00A30526">
        <w:rPr>
          <w:rFonts w:ascii="Times New Roman" w:eastAsia="Times New Roman" w:hAnsi="Times New Roman" w:cs="Times New Roman"/>
          <w:i/>
          <w:iCs/>
          <w:color w:val="444444"/>
          <w:sz w:val="24"/>
          <w:szCs w:val="24"/>
          <w:lang w:eastAsia="en-IN" w:bidi="hi-IN"/>
        </w:rPr>
        <w:t>c</w:t>
      </w:r>
      <w:r w:rsidRPr="00A30526">
        <w:rPr>
          <w:rFonts w:ascii="Times New Roman" w:eastAsia="Times New Roman" w:hAnsi="Times New Roman" w:cs="Times New Roman"/>
          <w:color w:val="444444"/>
          <w:sz w:val="24"/>
          <w:szCs w:val="24"/>
          <w:lang w:eastAsia="en-IN" w:bidi="hi-IN"/>
        </w:rPr>
        <w:t>) of section 5 of the Banking Regulation Act, 1949 (10 of 1949) with a banking institution as referred to in sub-section (15) of section 45 of the said Act, sanctioned and brought into force by the Central Government under sub-section (7) of section 45 of that Act of any asset by the banking company to the banking institution.</w:t>
      </w:r>
    </w:p>
    <w:p w:rsidR="00480514" w:rsidRPr="00A30526"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proofErr w:type="gramStart"/>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i/>
          <w:iCs/>
          <w:color w:val="444444"/>
          <w:sz w:val="24"/>
          <w:szCs w:val="24"/>
          <w:lang w:eastAsia="en-IN" w:bidi="hi-IN"/>
        </w:rPr>
        <w:t>iv</w:t>
      </w:r>
      <w:r w:rsidRPr="00A30526">
        <w:rPr>
          <w:rFonts w:ascii="Times New Roman" w:eastAsia="Times New Roman" w:hAnsi="Times New Roman" w:cs="Times New Roman"/>
          <w:color w:val="444444"/>
          <w:sz w:val="24"/>
          <w:szCs w:val="24"/>
          <w:lang w:eastAsia="en-IN" w:bidi="hi-IN"/>
        </w:rPr>
        <w:t>) [</w:t>
      </w:r>
      <w:proofErr w:type="gramEnd"/>
      <w:r w:rsidRPr="00A30526">
        <w:rPr>
          <w:rFonts w:ascii="Times New Roman" w:eastAsia="Times New Roman" w:hAnsi="Times New Roman" w:cs="Times New Roman"/>
          <w:color w:val="444444"/>
          <w:sz w:val="24"/>
          <w:szCs w:val="24"/>
          <w:lang w:eastAsia="en-IN" w:bidi="hi-IN"/>
        </w:rPr>
        <w:t>***]</w:t>
      </w:r>
    </w:p>
    <w:p w:rsidR="00480514" w:rsidRPr="00A30526"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i/>
          <w:iCs/>
          <w:color w:val="444444"/>
          <w:sz w:val="24"/>
          <w:szCs w:val="24"/>
          <w:lang w:eastAsia="en-IN" w:bidi="hi-IN"/>
        </w:rPr>
        <w:t>v</w:t>
      </w:r>
      <w:r w:rsidRPr="00A30526">
        <w:rPr>
          <w:rFonts w:ascii="Times New Roman" w:eastAsia="Times New Roman" w:hAnsi="Times New Roman" w:cs="Times New Roman"/>
          <w:color w:val="444444"/>
          <w:sz w:val="24"/>
          <w:szCs w:val="24"/>
          <w:lang w:eastAsia="en-IN" w:bidi="hi-IN"/>
        </w:rPr>
        <w:t>) [***]</w:t>
      </w:r>
    </w:p>
    <w:p w:rsidR="00480514" w:rsidRPr="00A30526"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proofErr w:type="gramStart"/>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i/>
          <w:iCs/>
          <w:color w:val="444444"/>
          <w:sz w:val="24"/>
          <w:szCs w:val="24"/>
          <w:lang w:eastAsia="en-IN" w:bidi="hi-IN"/>
        </w:rPr>
        <w:t>vi</w:t>
      </w:r>
      <w:r w:rsidRPr="00A30526">
        <w:rPr>
          <w:rFonts w:ascii="Times New Roman" w:eastAsia="Times New Roman" w:hAnsi="Times New Roman" w:cs="Times New Roman"/>
          <w:color w:val="444444"/>
          <w:sz w:val="24"/>
          <w:szCs w:val="24"/>
          <w:lang w:eastAsia="en-IN" w:bidi="hi-IN"/>
        </w:rPr>
        <w:t>) [</w:t>
      </w:r>
      <w:proofErr w:type="gramEnd"/>
      <w:r w:rsidRPr="00A30526">
        <w:rPr>
          <w:rFonts w:ascii="Times New Roman" w:eastAsia="Times New Roman" w:hAnsi="Times New Roman" w:cs="Times New Roman"/>
          <w:color w:val="444444"/>
          <w:sz w:val="24"/>
          <w:szCs w:val="24"/>
          <w:lang w:eastAsia="en-IN" w:bidi="hi-IN"/>
        </w:rPr>
        <w:t>***]</w:t>
      </w:r>
    </w:p>
    <w:p w:rsidR="00480514" w:rsidRPr="00A30526"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(1A) [***]</w:t>
      </w:r>
    </w:p>
    <w:p w:rsidR="00480514" w:rsidRPr="00A30526"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lastRenderedPageBreak/>
        <w:t>(2) Where, in the assessment of the assessee, full effect cannot be given to any allowance under sub-section (1) in any previous year, owing to there being no profits or gains chargeable for that previous year, or owing to the profits or gains chargeable being less than the allowance, then, subject to the provisions of sub-section (2) of </w:t>
      </w:r>
      <w:hyperlink r:id="rId110" w:history="1">
        <w:r w:rsidRPr="00A30526">
          <w:rPr>
            <w:rFonts w:ascii="Times New Roman" w:eastAsia="Times New Roman" w:hAnsi="Times New Roman" w:cs="Times New Roman"/>
            <w:color w:val="663399"/>
            <w:sz w:val="24"/>
            <w:szCs w:val="24"/>
            <w:lang w:eastAsia="en-IN" w:bidi="hi-IN"/>
          </w:rPr>
          <w:t>section 72</w:t>
        </w:r>
      </w:hyperlink>
      <w:r w:rsidRPr="00A30526">
        <w:rPr>
          <w:rFonts w:ascii="Times New Roman" w:eastAsia="Times New Roman" w:hAnsi="Times New Roman" w:cs="Times New Roman"/>
          <w:color w:val="444444"/>
          <w:sz w:val="24"/>
          <w:szCs w:val="24"/>
          <w:lang w:eastAsia="en-IN" w:bidi="hi-IN"/>
        </w:rPr>
        <w:t> and sub-section (3) of </w:t>
      </w:r>
      <w:hyperlink r:id="rId111" w:history="1">
        <w:r w:rsidRPr="00A30526">
          <w:rPr>
            <w:rFonts w:ascii="Times New Roman" w:eastAsia="Times New Roman" w:hAnsi="Times New Roman" w:cs="Times New Roman"/>
            <w:color w:val="663399"/>
            <w:sz w:val="24"/>
            <w:szCs w:val="24"/>
            <w:lang w:eastAsia="en-IN" w:bidi="hi-IN"/>
          </w:rPr>
          <w:t>section 73</w:t>
        </w:r>
      </w:hyperlink>
      <w:r w:rsidRPr="00A30526">
        <w:rPr>
          <w:rFonts w:ascii="Times New Roman" w:eastAsia="Times New Roman" w:hAnsi="Times New Roman" w:cs="Times New Roman"/>
          <w:color w:val="444444"/>
          <w:sz w:val="24"/>
          <w:szCs w:val="24"/>
          <w:lang w:eastAsia="en-IN" w:bidi="hi-IN"/>
        </w:rPr>
        <w:t>, the allowance or the part of the allowance to which effect has not been given, as the case may be, shall be added to the amount of the allowance for depreciation for the following previous year and deemed to be part of that allowance, or if there is no such allowance for that previous year, be deemed to be the allowance for that previous year, and so on for the succeeding previous years.</w:t>
      </w:r>
    </w:p>
    <w:p w:rsidR="00480514" w:rsidRDefault="00480514" w:rsidP="00480514">
      <w:pPr>
        <w:pBdr>
          <w:bottom w:val="single" w:sz="6" w:space="1" w:color="auto"/>
        </w:pBdr>
        <w:rPr>
          <w:rFonts w:ascii="Times New Roman" w:eastAsia="Times New Roman" w:hAnsi="Times New Roman" w:cs="Times New Roman"/>
          <w:sz w:val="24"/>
          <w:szCs w:val="24"/>
          <w:lang w:eastAsia="en-IN" w:bidi="hi-IN"/>
        </w:rPr>
      </w:pPr>
    </w:p>
    <w:p w:rsidR="00480514" w:rsidRDefault="00480514" w:rsidP="00480514">
      <w:pPr>
        <w:rPr>
          <w:rFonts w:ascii="Times New Roman" w:eastAsia="Times New Roman" w:hAnsi="Times New Roman" w:cs="Times New Roman"/>
          <w:sz w:val="24"/>
          <w:szCs w:val="24"/>
          <w:lang w:eastAsia="en-IN" w:bidi="hi-IN"/>
        </w:rPr>
      </w:pPr>
    </w:p>
    <w:p w:rsidR="00480514" w:rsidRPr="00A30526"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b/>
          <w:bCs/>
          <w:color w:val="444444"/>
          <w:sz w:val="24"/>
          <w:szCs w:val="24"/>
          <w:lang w:eastAsia="en-IN" w:bidi="hi-IN"/>
        </w:rPr>
        <w:t>Carry forward and set off of business losses.</w:t>
      </w:r>
    </w:p>
    <w:p w:rsidR="00480514" w:rsidRPr="00A30526"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b/>
          <w:bCs/>
          <w:color w:val="444444"/>
          <w:sz w:val="24"/>
          <w:szCs w:val="24"/>
          <w:lang w:eastAsia="en-IN" w:bidi="hi-IN"/>
        </w:rPr>
        <w:t>72. </w:t>
      </w:r>
      <w:r w:rsidRPr="00A30526">
        <w:rPr>
          <w:rFonts w:ascii="Times New Roman" w:eastAsia="Times New Roman" w:hAnsi="Times New Roman" w:cs="Times New Roman"/>
          <w:color w:val="444444"/>
          <w:sz w:val="24"/>
          <w:szCs w:val="24"/>
          <w:lang w:eastAsia="en-IN" w:bidi="hi-IN"/>
        </w:rPr>
        <w:t>(1) Where for any assessment year, the net result of the computation under the head "Profits and gains of business or profession" is a loss to the assessee, not being a loss sustained in a speculation business, and such loss cannot be or is not wholly set off against income under any head of income in accordance with the provisions of </w:t>
      </w:r>
      <w:hyperlink r:id="rId112" w:history="1">
        <w:r w:rsidRPr="00A30526">
          <w:rPr>
            <w:rFonts w:ascii="Times New Roman" w:eastAsia="Times New Roman" w:hAnsi="Times New Roman" w:cs="Times New Roman"/>
            <w:color w:val="663399"/>
            <w:sz w:val="24"/>
            <w:szCs w:val="24"/>
            <w:lang w:eastAsia="en-IN" w:bidi="hi-IN"/>
          </w:rPr>
          <w:t>section 71</w:t>
        </w:r>
      </w:hyperlink>
      <w:r w:rsidRPr="00A30526">
        <w:rPr>
          <w:rFonts w:ascii="Times New Roman" w:eastAsia="Times New Roman" w:hAnsi="Times New Roman" w:cs="Times New Roman"/>
          <w:color w:val="444444"/>
          <w:sz w:val="24"/>
          <w:szCs w:val="24"/>
          <w:lang w:eastAsia="en-IN" w:bidi="hi-IN"/>
        </w:rPr>
        <w:t>, so much of the loss as has not been so set off or, where he has no income under any other head, the whole loss shall, subject to the other provisions of this Chapter, be carried forward to the following assessment year, and—</w:t>
      </w:r>
    </w:p>
    <w:p w:rsidR="00480514" w:rsidRPr="00A30526"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 (</w:t>
      </w:r>
      <w:r w:rsidRPr="00A30526">
        <w:rPr>
          <w:rFonts w:ascii="Times New Roman" w:eastAsia="Times New Roman" w:hAnsi="Times New Roman" w:cs="Times New Roman"/>
          <w:i/>
          <w:iCs/>
          <w:color w:val="444444"/>
          <w:sz w:val="24"/>
          <w:szCs w:val="24"/>
          <w:lang w:eastAsia="en-IN" w:bidi="hi-IN"/>
        </w:rPr>
        <w:t>i</w:t>
      </w:r>
      <w:r w:rsidRPr="00A30526">
        <w:rPr>
          <w:rFonts w:ascii="Times New Roman" w:eastAsia="Times New Roman" w:hAnsi="Times New Roman" w:cs="Times New Roman"/>
          <w:color w:val="444444"/>
          <w:sz w:val="24"/>
          <w:szCs w:val="24"/>
          <w:lang w:eastAsia="en-IN" w:bidi="hi-IN"/>
        </w:rPr>
        <w:t>) It shall be set off against the profits and gains, if any, of any business or profession carried on by him and assessable for that assessment year;</w:t>
      </w:r>
    </w:p>
    <w:p w:rsidR="00480514" w:rsidRPr="00A30526"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i/>
          <w:iCs/>
          <w:color w:val="444444"/>
          <w:sz w:val="24"/>
          <w:szCs w:val="24"/>
          <w:lang w:eastAsia="en-IN" w:bidi="hi-IN"/>
        </w:rPr>
        <w:t>ii</w:t>
      </w:r>
      <w:r w:rsidRPr="00A30526">
        <w:rPr>
          <w:rFonts w:ascii="Times New Roman" w:eastAsia="Times New Roman" w:hAnsi="Times New Roman" w:cs="Times New Roman"/>
          <w:color w:val="444444"/>
          <w:sz w:val="24"/>
          <w:szCs w:val="24"/>
          <w:lang w:eastAsia="en-IN" w:bidi="hi-IN"/>
        </w:rPr>
        <w:t>) If the loss cannot be wholly so set off, the amount of loss not so set off shall be carried forward to the following assessment year and so on:</w:t>
      </w:r>
    </w:p>
    <w:p w:rsidR="00480514" w:rsidRPr="00A30526"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b/>
          <w:bCs/>
          <w:color w:val="444444"/>
          <w:sz w:val="24"/>
          <w:szCs w:val="24"/>
          <w:lang w:eastAsia="en-IN" w:bidi="hi-IN"/>
        </w:rPr>
        <w:t>Provided</w:t>
      </w:r>
      <w:r w:rsidRPr="00A30526">
        <w:rPr>
          <w:rFonts w:ascii="Times New Roman" w:eastAsia="Times New Roman" w:hAnsi="Times New Roman" w:cs="Times New Roman"/>
          <w:color w:val="444444"/>
          <w:sz w:val="24"/>
          <w:szCs w:val="24"/>
          <w:lang w:eastAsia="en-IN" w:bidi="hi-IN"/>
        </w:rPr>
        <w:t> that where the whole or any part of such loss is sustained in any such business as is referred to in </w:t>
      </w:r>
      <w:hyperlink r:id="rId113" w:history="1">
        <w:r w:rsidRPr="00A30526">
          <w:rPr>
            <w:rFonts w:ascii="Times New Roman" w:eastAsia="Times New Roman" w:hAnsi="Times New Roman" w:cs="Times New Roman"/>
            <w:color w:val="663399"/>
            <w:sz w:val="24"/>
            <w:szCs w:val="24"/>
            <w:lang w:eastAsia="en-IN" w:bidi="hi-IN"/>
          </w:rPr>
          <w:t>section 33B</w:t>
        </w:r>
      </w:hyperlink>
      <w:r w:rsidRPr="00A30526">
        <w:rPr>
          <w:rFonts w:ascii="Times New Roman" w:eastAsia="Times New Roman" w:hAnsi="Times New Roman" w:cs="Times New Roman"/>
          <w:color w:val="444444"/>
          <w:sz w:val="24"/>
          <w:szCs w:val="24"/>
          <w:lang w:eastAsia="en-IN" w:bidi="hi-IN"/>
        </w:rPr>
        <w:t> which is discontinued in the circumstances specified in that section, and, thereafter, at any time before the expiry of the period of three years referred to in that section, such business is re-established, reconstructed or revived by the assessee, so much of the loss as is attributable to such business shall be carried forward to the assessment year relevant to the previous year in which the business is so re-established, reconstructed or revived, and—</w:t>
      </w:r>
    </w:p>
    <w:p w:rsidR="00480514" w:rsidRPr="00A30526"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i/>
          <w:iCs/>
          <w:color w:val="444444"/>
          <w:sz w:val="24"/>
          <w:szCs w:val="24"/>
          <w:lang w:eastAsia="en-IN" w:bidi="hi-IN"/>
        </w:rPr>
        <w:t>a</w:t>
      </w:r>
      <w:r w:rsidRPr="00A30526">
        <w:rPr>
          <w:rFonts w:ascii="Times New Roman" w:eastAsia="Times New Roman" w:hAnsi="Times New Roman" w:cs="Times New Roman"/>
          <w:color w:val="444444"/>
          <w:sz w:val="24"/>
          <w:szCs w:val="24"/>
          <w:lang w:eastAsia="en-IN" w:bidi="hi-IN"/>
        </w:rPr>
        <w:t>) It shall be set off against the profits and gains, if any, of that business or any other business carried on by him and assessable for that assessment year; and</w:t>
      </w:r>
    </w:p>
    <w:p w:rsidR="00480514" w:rsidRPr="00A30526"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w:t>
      </w:r>
      <w:r w:rsidRPr="00A30526">
        <w:rPr>
          <w:rFonts w:ascii="Times New Roman" w:eastAsia="Times New Roman" w:hAnsi="Times New Roman" w:cs="Times New Roman"/>
          <w:i/>
          <w:iCs/>
          <w:color w:val="444444"/>
          <w:sz w:val="24"/>
          <w:szCs w:val="24"/>
          <w:lang w:eastAsia="en-IN" w:bidi="hi-IN"/>
        </w:rPr>
        <w:t>b</w:t>
      </w:r>
      <w:r w:rsidRPr="00A30526">
        <w:rPr>
          <w:rFonts w:ascii="Times New Roman" w:eastAsia="Times New Roman" w:hAnsi="Times New Roman" w:cs="Times New Roman"/>
          <w:color w:val="444444"/>
          <w:sz w:val="24"/>
          <w:szCs w:val="24"/>
          <w:lang w:eastAsia="en-IN" w:bidi="hi-IN"/>
        </w:rPr>
        <w:t>) if the loss cannot be wholly so set off, the amount of loss not so set off shall, in case the business so re-established, reconstructed or revived continues to be carried on by the assessee, be carried forward to the following assessment year and so on for seven assessment years immediately succeeding.</w:t>
      </w:r>
    </w:p>
    <w:p w:rsidR="00480514" w:rsidRPr="00A30526"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t>(2) Where any allowance or part thereof is, under sub-section (2) of </w:t>
      </w:r>
      <w:hyperlink r:id="rId114" w:history="1">
        <w:r w:rsidRPr="00A30526">
          <w:rPr>
            <w:rFonts w:ascii="Times New Roman" w:eastAsia="Times New Roman" w:hAnsi="Times New Roman" w:cs="Times New Roman"/>
            <w:color w:val="663399"/>
            <w:sz w:val="24"/>
            <w:szCs w:val="24"/>
            <w:lang w:eastAsia="en-IN" w:bidi="hi-IN"/>
          </w:rPr>
          <w:t>section 32</w:t>
        </w:r>
      </w:hyperlink>
      <w:r w:rsidRPr="00A30526">
        <w:rPr>
          <w:rFonts w:ascii="Times New Roman" w:eastAsia="Times New Roman" w:hAnsi="Times New Roman" w:cs="Times New Roman"/>
          <w:color w:val="444444"/>
          <w:sz w:val="24"/>
          <w:szCs w:val="24"/>
          <w:lang w:eastAsia="en-IN" w:bidi="hi-IN"/>
        </w:rPr>
        <w:t> or sub-section (4) of </w:t>
      </w:r>
      <w:hyperlink r:id="rId115" w:history="1">
        <w:r w:rsidRPr="00A30526">
          <w:rPr>
            <w:rFonts w:ascii="Times New Roman" w:eastAsia="Times New Roman" w:hAnsi="Times New Roman" w:cs="Times New Roman"/>
            <w:color w:val="663399"/>
            <w:sz w:val="24"/>
            <w:szCs w:val="24"/>
            <w:lang w:eastAsia="en-IN" w:bidi="hi-IN"/>
          </w:rPr>
          <w:t>section 35</w:t>
        </w:r>
      </w:hyperlink>
      <w:r w:rsidRPr="00A30526">
        <w:rPr>
          <w:rFonts w:ascii="Times New Roman" w:eastAsia="Times New Roman" w:hAnsi="Times New Roman" w:cs="Times New Roman"/>
          <w:color w:val="444444"/>
          <w:sz w:val="24"/>
          <w:szCs w:val="24"/>
          <w:lang w:eastAsia="en-IN" w:bidi="hi-IN"/>
        </w:rPr>
        <w:t>, to be carried forward, effect shall first be given to the provisions of this section.</w:t>
      </w:r>
    </w:p>
    <w:p w:rsidR="00480514" w:rsidRDefault="00480514" w:rsidP="00480514">
      <w:pPr>
        <w:pBdr>
          <w:bottom w:val="single" w:sz="6" w:space="1" w:color="auto"/>
        </w:pBd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A30526">
        <w:rPr>
          <w:rFonts w:ascii="Times New Roman" w:eastAsia="Times New Roman" w:hAnsi="Times New Roman" w:cs="Times New Roman"/>
          <w:color w:val="444444"/>
          <w:sz w:val="24"/>
          <w:szCs w:val="24"/>
          <w:lang w:eastAsia="en-IN" w:bidi="hi-IN"/>
        </w:rPr>
        <w:lastRenderedPageBreak/>
        <w:t>(3) No loss (other than the loss referred to in the proviso to sub-section (1) of this section) shall be carried forward under this section for more than eight assessment years immediately succeeding the assessment year for which the loss was first computed.</w:t>
      </w:r>
    </w:p>
    <w:p w:rsidR="00480514" w:rsidRPr="00A30526" w:rsidRDefault="00480514" w:rsidP="00480514">
      <w:pPr>
        <w:pBdr>
          <w:bottom w:val="single" w:sz="6" w:space="1" w:color="auto"/>
        </w:pBdr>
        <w:shd w:val="clear" w:color="auto" w:fill="FFFFFF"/>
        <w:spacing w:after="80" w:line="240" w:lineRule="auto"/>
        <w:jc w:val="both"/>
        <w:rPr>
          <w:rFonts w:ascii="Times New Roman" w:eastAsia="Times New Roman" w:hAnsi="Times New Roman" w:cs="Times New Roman"/>
          <w:color w:val="444444"/>
          <w:sz w:val="24"/>
          <w:szCs w:val="24"/>
          <w:lang w:eastAsia="en-IN" w:bidi="hi-IN"/>
        </w:rPr>
      </w:pPr>
    </w:p>
    <w:p w:rsidR="00480514" w:rsidRDefault="00480514" w:rsidP="00480514"/>
    <w:p w:rsidR="00480514" w:rsidRPr="004945F4" w:rsidRDefault="00480514" w:rsidP="00480514">
      <w:pPr>
        <w:shd w:val="clear" w:color="auto" w:fill="F7F7F7"/>
        <w:spacing w:before="100" w:beforeAutospacing="1" w:after="100" w:afterAutospacing="1" w:line="240" w:lineRule="auto"/>
        <w:jc w:val="center"/>
        <w:outlineLvl w:val="2"/>
        <w:rPr>
          <w:rFonts w:ascii="Segoe UI" w:eastAsia="Times New Roman" w:hAnsi="Segoe UI" w:cs="Segoe UI"/>
          <w:color w:val="7C7C7C"/>
          <w:sz w:val="20"/>
          <w:szCs w:val="20"/>
          <w:lang w:eastAsia="en-IN" w:bidi="hi-IN"/>
        </w:rPr>
      </w:pPr>
      <w:r w:rsidRPr="004945F4">
        <w:rPr>
          <w:rFonts w:ascii="Segoe UI Semilight" w:eastAsia="Times New Roman" w:hAnsi="Segoe UI Semilight" w:cs="Segoe UI Semilight"/>
          <w:color w:val="7C7C7C"/>
          <w:sz w:val="21"/>
          <w:szCs w:val="21"/>
          <w:lang w:eastAsia="en-IN" w:bidi="hi-IN"/>
        </w:rPr>
        <w:br/>
        <w:t>Section - 72A, Income-tax Act, 1961-2016</w:t>
      </w:r>
    </w:p>
    <w:p w:rsidR="00480514" w:rsidRPr="004945F4"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b/>
          <w:bCs/>
          <w:color w:val="444444"/>
          <w:sz w:val="24"/>
          <w:szCs w:val="24"/>
          <w:lang w:eastAsia="en-IN" w:bidi="hi-IN"/>
        </w:rPr>
        <w:t>Provisions relating to carry forward and set off of accumulated loss and unabsorbed depreciation allowance in amalgamation or demerger, etc.</w:t>
      </w:r>
    </w:p>
    <w:p w:rsidR="00480514" w:rsidRPr="004945F4"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b/>
          <w:bCs/>
          <w:color w:val="444444"/>
          <w:sz w:val="24"/>
          <w:szCs w:val="24"/>
          <w:lang w:eastAsia="en-IN" w:bidi="hi-IN"/>
        </w:rPr>
        <w:t>72A. </w:t>
      </w:r>
      <w:r w:rsidRPr="004945F4">
        <w:rPr>
          <w:rFonts w:ascii="Times New Roman" w:eastAsia="Times New Roman" w:hAnsi="Times New Roman" w:cs="Times New Roman"/>
          <w:color w:val="444444"/>
          <w:sz w:val="24"/>
          <w:szCs w:val="24"/>
          <w:lang w:eastAsia="en-IN" w:bidi="hi-IN"/>
        </w:rPr>
        <w:t>(1) Where there has been an amalgamation of—</w:t>
      </w:r>
    </w:p>
    <w:p w:rsidR="00480514" w:rsidRPr="004945F4"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color w:val="444444"/>
          <w:sz w:val="24"/>
          <w:szCs w:val="24"/>
          <w:lang w:eastAsia="en-IN" w:bidi="hi-IN"/>
        </w:rPr>
        <w:t>(</w:t>
      </w:r>
      <w:r w:rsidRPr="004945F4">
        <w:rPr>
          <w:rFonts w:ascii="Times New Roman" w:eastAsia="Times New Roman" w:hAnsi="Times New Roman" w:cs="Times New Roman"/>
          <w:i/>
          <w:iCs/>
          <w:color w:val="444444"/>
          <w:sz w:val="24"/>
          <w:szCs w:val="24"/>
          <w:lang w:eastAsia="en-IN" w:bidi="hi-IN"/>
        </w:rPr>
        <w:t>a</w:t>
      </w:r>
      <w:r w:rsidRPr="004945F4">
        <w:rPr>
          <w:rFonts w:ascii="Times New Roman" w:eastAsia="Times New Roman" w:hAnsi="Times New Roman" w:cs="Times New Roman"/>
          <w:color w:val="444444"/>
          <w:sz w:val="24"/>
          <w:szCs w:val="24"/>
          <w:lang w:eastAsia="en-IN" w:bidi="hi-IN"/>
        </w:rPr>
        <w:t>) A company owning an industrial undertaking or a ship or a hotel with another company; or</w:t>
      </w:r>
    </w:p>
    <w:p w:rsidR="00480514" w:rsidRPr="004945F4"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color w:val="444444"/>
          <w:sz w:val="24"/>
          <w:szCs w:val="24"/>
          <w:lang w:eastAsia="en-IN" w:bidi="hi-IN"/>
        </w:rPr>
        <w:t>(</w:t>
      </w:r>
      <w:r w:rsidRPr="004945F4">
        <w:rPr>
          <w:rFonts w:ascii="Times New Roman" w:eastAsia="Times New Roman" w:hAnsi="Times New Roman" w:cs="Times New Roman"/>
          <w:i/>
          <w:iCs/>
          <w:color w:val="444444"/>
          <w:sz w:val="24"/>
          <w:szCs w:val="24"/>
          <w:lang w:eastAsia="en-IN" w:bidi="hi-IN"/>
        </w:rPr>
        <w:t>b</w:t>
      </w:r>
      <w:r w:rsidRPr="004945F4">
        <w:rPr>
          <w:rFonts w:ascii="Times New Roman" w:eastAsia="Times New Roman" w:hAnsi="Times New Roman" w:cs="Times New Roman"/>
          <w:color w:val="444444"/>
          <w:sz w:val="24"/>
          <w:szCs w:val="24"/>
          <w:lang w:eastAsia="en-IN" w:bidi="hi-IN"/>
        </w:rPr>
        <w:t>) A banking company referred to in clause (</w:t>
      </w:r>
      <w:r w:rsidRPr="004945F4">
        <w:rPr>
          <w:rFonts w:ascii="Times New Roman" w:eastAsia="Times New Roman" w:hAnsi="Times New Roman" w:cs="Times New Roman"/>
          <w:i/>
          <w:iCs/>
          <w:color w:val="444444"/>
          <w:sz w:val="24"/>
          <w:szCs w:val="24"/>
          <w:lang w:eastAsia="en-IN" w:bidi="hi-IN"/>
        </w:rPr>
        <w:t>c</w:t>
      </w:r>
      <w:r w:rsidRPr="004945F4">
        <w:rPr>
          <w:rFonts w:ascii="Times New Roman" w:eastAsia="Times New Roman" w:hAnsi="Times New Roman" w:cs="Times New Roman"/>
          <w:color w:val="444444"/>
          <w:sz w:val="24"/>
          <w:szCs w:val="24"/>
          <w:lang w:eastAsia="en-IN" w:bidi="hi-IN"/>
        </w:rPr>
        <w:t>) of section 5 of the Banking Regulation Act, 1949 (10 of 1949) with a specified bank; or</w:t>
      </w:r>
    </w:p>
    <w:p w:rsidR="00480514" w:rsidRPr="004945F4"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color w:val="444444"/>
          <w:sz w:val="24"/>
          <w:szCs w:val="24"/>
          <w:lang w:eastAsia="en-IN" w:bidi="hi-IN"/>
        </w:rPr>
        <w:t>(</w:t>
      </w:r>
      <w:r w:rsidRPr="004945F4">
        <w:rPr>
          <w:rFonts w:ascii="Times New Roman" w:eastAsia="Times New Roman" w:hAnsi="Times New Roman" w:cs="Times New Roman"/>
          <w:i/>
          <w:iCs/>
          <w:color w:val="444444"/>
          <w:sz w:val="24"/>
          <w:szCs w:val="24"/>
          <w:lang w:eastAsia="en-IN" w:bidi="hi-IN"/>
        </w:rPr>
        <w:t>c</w:t>
      </w:r>
      <w:r w:rsidRPr="004945F4">
        <w:rPr>
          <w:rFonts w:ascii="Times New Roman" w:eastAsia="Times New Roman" w:hAnsi="Times New Roman" w:cs="Times New Roman"/>
          <w:color w:val="444444"/>
          <w:sz w:val="24"/>
          <w:szCs w:val="24"/>
          <w:lang w:eastAsia="en-IN" w:bidi="hi-IN"/>
        </w:rPr>
        <w:t>) One or more public sector company or companies engaged in the business of operation of aircraft with one or more public sector company or companies engaged in similar business,</w:t>
      </w:r>
    </w:p>
    <w:p w:rsidR="00480514" w:rsidRPr="004945F4"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color w:val="444444"/>
          <w:sz w:val="24"/>
          <w:szCs w:val="24"/>
          <w:lang w:eastAsia="en-IN" w:bidi="hi-IN"/>
        </w:rPr>
        <w:t>then, notwithstanding anything contained in any other provision of this Act, the accumulated loss and the unabsorbed depreciation of the amalgamating company shall be deemed to be the loss or, as the case may be, allowance for unabsorbed depreciation of the amalgamated company for the previous year in which the amalgamation was effected, and other provisions of this Act relating to set off and carry forward of loss and allowance for depreciation shall apply accordingly.</w:t>
      </w:r>
    </w:p>
    <w:p w:rsidR="00480514" w:rsidRPr="004945F4"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color w:val="444444"/>
          <w:sz w:val="24"/>
          <w:szCs w:val="24"/>
          <w:lang w:eastAsia="en-IN" w:bidi="hi-IN"/>
        </w:rPr>
        <w:t>(2) Notwithstanding anything contained in sub-section (1), the accumulated loss shall not be set off or carried forward and the unabsorbed depreciation shall not be allowed in the assessment of the amalgamated company unless—</w:t>
      </w:r>
    </w:p>
    <w:p w:rsidR="00480514" w:rsidRPr="004945F4"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color w:val="444444"/>
          <w:sz w:val="24"/>
          <w:szCs w:val="24"/>
          <w:lang w:eastAsia="en-IN" w:bidi="hi-IN"/>
        </w:rPr>
        <w:t>(</w:t>
      </w:r>
      <w:r w:rsidRPr="004945F4">
        <w:rPr>
          <w:rFonts w:ascii="Times New Roman" w:eastAsia="Times New Roman" w:hAnsi="Times New Roman" w:cs="Times New Roman"/>
          <w:i/>
          <w:iCs/>
          <w:color w:val="444444"/>
          <w:sz w:val="24"/>
          <w:szCs w:val="24"/>
          <w:lang w:eastAsia="en-IN" w:bidi="hi-IN"/>
        </w:rPr>
        <w:t>a</w:t>
      </w:r>
      <w:r w:rsidRPr="004945F4">
        <w:rPr>
          <w:rFonts w:ascii="Times New Roman" w:eastAsia="Times New Roman" w:hAnsi="Times New Roman" w:cs="Times New Roman"/>
          <w:color w:val="444444"/>
          <w:sz w:val="24"/>
          <w:szCs w:val="24"/>
          <w:lang w:eastAsia="en-IN" w:bidi="hi-IN"/>
        </w:rPr>
        <w:t>) The amalgamating company—</w:t>
      </w:r>
    </w:p>
    <w:p w:rsidR="00480514" w:rsidRPr="004945F4" w:rsidRDefault="00480514" w:rsidP="00480514">
      <w:pPr>
        <w:shd w:val="clear" w:color="auto" w:fill="FFFFFF"/>
        <w:spacing w:after="80" w:line="240" w:lineRule="auto"/>
        <w:ind w:left="1247" w:hanging="454"/>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color w:val="444444"/>
          <w:sz w:val="24"/>
          <w:szCs w:val="24"/>
          <w:lang w:eastAsia="en-IN" w:bidi="hi-IN"/>
        </w:rPr>
        <w:t>(</w:t>
      </w:r>
      <w:r w:rsidRPr="004945F4">
        <w:rPr>
          <w:rFonts w:ascii="Times New Roman" w:eastAsia="Times New Roman" w:hAnsi="Times New Roman" w:cs="Times New Roman"/>
          <w:i/>
          <w:iCs/>
          <w:color w:val="444444"/>
          <w:sz w:val="24"/>
          <w:szCs w:val="24"/>
          <w:lang w:eastAsia="en-IN" w:bidi="hi-IN"/>
        </w:rPr>
        <w:t>i</w:t>
      </w:r>
      <w:r w:rsidRPr="004945F4">
        <w:rPr>
          <w:rFonts w:ascii="Times New Roman" w:eastAsia="Times New Roman" w:hAnsi="Times New Roman" w:cs="Times New Roman"/>
          <w:color w:val="444444"/>
          <w:sz w:val="24"/>
          <w:szCs w:val="24"/>
          <w:lang w:eastAsia="en-IN" w:bidi="hi-IN"/>
        </w:rPr>
        <w:t>) Has been engaged in the business, in which the accumulated loss occurred or depreciation remains unabsorbed, for three or more years;</w:t>
      </w:r>
    </w:p>
    <w:p w:rsidR="00480514" w:rsidRPr="004945F4" w:rsidRDefault="00480514" w:rsidP="00480514">
      <w:pPr>
        <w:shd w:val="clear" w:color="auto" w:fill="FFFFFF"/>
        <w:spacing w:after="80" w:line="240" w:lineRule="auto"/>
        <w:ind w:left="1247" w:hanging="454"/>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color w:val="444444"/>
          <w:sz w:val="24"/>
          <w:szCs w:val="24"/>
          <w:lang w:eastAsia="en-IN" w:bidi="hi-IN"/>
        </w:rPr>
        <w:t>(</w:t>
      </w:r>
      <w:r w:rsidRPr="004945F4">
        <w:rPr>
          <w:rFonts w:ascii="Times New Roman" w:eastAsia="Times New Roman" w:hAnsi="Times New Roman" w:cs="Times New Roman"/>
          <w:i/>
          <w:iCs/>
          <w:color w:val="444444"/>
          <w:sz w:val="24"/>
          <w:szCs w:val="24"/>
          <w:lang w:eastAsia="en-IN" w:bidi="hi-IN"/>
        </w:rPr>
        <w:t>ii</w:t>
      </w:r>
      <w:r w:rsidRPr="004945F4">
        <w:rPr>
          <w:rFonts w:ascii="Times New Roman" w:eastAsia="Times New Roman" w:hAnsi="Times New Roman" w:cs="Times New Roman"/>
          <w:color w:val="444444"/>
          <w:sz w:val="24"/>
          <w:szCs w:val="24"/>
          <w:lang w:eastAsia="en-IN" w:bidi="hi-IN"/>
        </w:rPr>
        <w:t>) Has held continuously as on the date of the amalgamation at least three-fourths of the book value of fixed assets held by it two years prior to the date of amalgamation;</w:t>
      </w:r>
    </w:p>
    <w:p w:rsidR="00480514" w:rsidRPr="004945F4"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color w:val="444444"/>
          <w:sz w:val="24"/>
          <w:szCs w:val="24"/>
          <w:lang w:eastAsia="en-IN" w:bidi="hi-IN"/>
        </w:rPr>
        <w:t>(</w:t>
      </w:r>
      <w:r w:rsidRPr="004945F4">
        <w:rPr>
          <w:rFonts w:ascii="Times New Roman" w:eastAsia="Times New Roman" w:hAnsi="Times New Roman" w:cs="Times New Roman"/>
          <w:i/>
          <w:iCs/>
          <w:color w:val="444444"/>
          <w:sz w:val="24"/>
          <w:szCs w:val="24"/>
          <w:lang w:eastAsia="en-IN" w:bidi="hi-IN"/>
        </w:rPr>
        <w:t>b</w:t>
      </w:r>
      <w:r w:rsidRPr="004945F4">
        <w:rPr>
          <w:rFonts w:ascii="Times New Roman" w:eastAsia="Times New Roman" w:hAnsi="Times New Roman" w:cs="Times New Roman"/>
          <w:color w:val="444444"/>
          <w:sz w:val="24"/>
          <w:szCs w:val="24"/>
          <w:lang w:eastAsia="en-IN" w:bidi="hi-IN"/>
        </w:rPr>
        <w:t>) The amalgamated company—</w:t>
      </w:r>
    </w:p>
    <w:p w:rsidR="00480514" w:rsidRPr="004945F4" w:rsidRDefault="00480514" w:rsidP="00480514">
      <w:pPr>
        <w:shd w:val="clear" w:color="auto" w:fill="FFFFFF"/>
        <w:spacing w:after="80" w:line="240" w:lineRule="auto"/>
        <w:ind w:left="1247" w:hanging="454"/>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color w:val="444444"/>
          <w:sz w:val="24"/>
          <w:szCs w:val="24"/>
          <w:lang w:eastAsia="en-IN" w:bidi="hi-IN"/>
        </w:rPr>
        <w:t> (</w:t>
      </w:r>
      <w:r w:rsidRPr="004945F4">
        <w:rPr>
          <w:rFonts w:ascii="Times New Roman" w:eastAsia="Times New Roman" w:hAnsi="Times New Roman" w:cs="Times New Roman"/>
          <w:i/>
          <w:iCs/>
          <w:color w:val="444444"/>
          <w:sz w:val="24"/>
          <w:szCs w:val="24"/>
          <w:lang w:eastAsia="en-IN" w:bidi="hi-IN"/>
        </w:rPr>
        <w:t>i</w:t>
      </w:r>
      <w:r w:rsidRPr="004945F4">
        <w:rPr>
          <w:rFonts w:ascii="Times New Roman" w:eastAsia="Times New Roman" w:hAnsi="Times New Roman" w:cs="Times New Roman"/>
          <w:color w:val="444444"/>
          <w:sz w:val="24"/>
          <w:szCs w:val="24"/>
          <w:lang w:eastAsia="en-IN" w:bidi="hi-IN"/>
        </w:rPr>
        <w:t>) Holds continuously for a minimum period of five years from the date of amalgamation at least three-fourths of the book value of fixed assets of the amalgamating company acquired in a scheme of amalgamation;</w:t>
      </w:r>
    </w:p>
    <w:p w:rsidR="00480514" w:rsidRPr="004945F4" w:rsidRDefault="00480514" w:rsidP="00480514">
      <w:pPr>
        <w:shd w:val="clear" w:color="auto" w:fill="FFFFFF"/>
        <w:spacing w:after="80" w:line="240" w:lineRule="auto"/>
        <w:ind w:left="1247" w:hanging="454"/>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color w:val="444444"/>
          <w:sz w:val="24"/>
          <w:szCs w:val="24"/>
          <w:lang w:eastAsia="en-IN" w:bidi="hi-IN"/>
        </w:rPr>
        <w:lastRenderedPageBreak/>
        <w:t>(</w:t>
      </w:r>
      <w:r w:rsidRPr="004945F4">
        <w:rPr>
          <w:rFonts w:ascii="Times New Roman" w:eastAsia="Times New Roman" w:hAnsi="Times New Roman" w:cs="Times New Roman"/>
          <w:i/>
          <w:iCs/>
          <w:color w:val="444444"/>
          <w:sz w:val="24"/>
          <w:szCs w:val="24"/>
          <w:lang w:eastAsia="en-IN" w:bidi="hi-IN"/>
        </w:rPr>
        <w:t>ii</w:t>
      </w:r>
      <w:r w:rsidRPr="004945F4">
        <w:rPr>
          <w:rFonts w:ascii="Times New Roman" w:eastAsia="Times New Roman" w:hAnsi="Times New Roman" w:cs="Times New Roman"/>
          <w:color w:val="444444"/>
          <w:sz w:val="24"/>
          <w:szCs w:val="24"/>
          <w:lang w:eastAsia="en-IN" w:bidi="hi-IN"/>
        </w:rPr>
        <w:t>) Continues the business of the amalgamating company for a minimum period of five years from the date of amalgamation;</w:t>
      </w:r>
    </w:p>
    <w:p w:rsidR="00480514" w:rsidRPr="004945F4" w:rsidRDefault="00480514" w:rsidP="00480514">
      <w:pPr>
        <w:shd w:val="clear" w:color="auto" w:fill="FFFFFF"/>
        <w:spacing w:after="80" w:line="240" w:lineRule="auto"/>
        <w:ind w:left="1247" w:hanging="454"/>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color w:val="444444"/>
          <w:sz w:val="24"/>
          <w:szCs w:val="24"/>
          <w:lang w:eastAsia="en-IN" w:bidi="hi-IN"/>
        </w:rPr>
        <w:t>(</w:t>
      </w:r>
      <w:r w:rsidRPr="004945F4">
        <w:rPr>
          <w:rFonts w:ascii="Times New Roman" w:eastAsia="Times New Roman" w:hAnsi="Times New Roman" w:cs="Times New Roman"/>
          <w:i/>
          <w:iCs/>
          <w:color w:val="444444"/>
          <w:sz w:val="24"/>
          <w:szCs w:val="24"/>
          <w:lang w:eastAsia="en-IN" w:bidi="hi-IN"/>
        </w:rPr>
        <w:t>iii</w:t>
      </w:r>
      <w:r w:rsidRPr="004945F4">
        <w:rPr>
          <w:rFonts w:ascii="Times New Roman" w:eastAsia="Times New Roman" w:hAnsi="Times New Roman" w:cs="Times New Roman"/>
          <w:color w:val="444444"/>
          <w:sz w:val="24"/>
          <w:szCs w:val="24"/>
          <w:lang w:eastAsia="en-IN" w:bidi="hi-IN"/>
        </w:rPr>
        <w:t>) Fulfils such other conditions as may be prescribed</w:t>
      </w:r>
      <w:hyperlink r:id="rId116" w:history="1">
        <w:r w:rsidRPr="004945F4">
          <w:rPr>
            <w:rFonts w:ascii="Times New Roman" w:eastAsia="Times New Roman" w:hAnsi="Times New Roman" w:cs="Times New Roman"/>
            <w:color w:val="663399"/>
            <w:sz w:val="24"/>
            <w:szCs w:val="24"/>
            <w:vertAlign w:val="superscript"/>
            <w:lang w:eastAsia="en-IN" w:bidi="hi-IN"/>
          </w:rPr>
          <w:t>50</w:t>
        </w:r>
      </w:hyperlink>
      <w:r w:rsidRPr="004945F4">
        <w:rPr>
          <w:rFonts w:ascii="Times New Roman" w:eastAsia="Times New Roman" w:hAnsi="Times New Roman" w:cs="Times New Roman"/>
          <w:color w:val="444444"/>
          <w:sz w:val="24"/>
          <w:szCs w:val="24"/>
          <w:lang w:eastAsia="en-IN" w:bidi="hi-IN"/>
        </w:rPr>
        <w:t> to ensure the revival of the business of the amalgamating company or to ensure that the amalgamation is for genuine business purpose.</w:t>
      </w:r>
    </w:p>
    <w:p w:rsidR="00480514" w:rsidRPr="004945F4"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color w:val="444444"/>
          <w:sz w:val="24"/>
          <w:szCs w:val="24"/>
          <w:lang w:eastAsia="en-IN" w:bidi="hi-IN"/>
        </w:rPr>
        <w:t>(3) In a case where any of the conditions laid down in sub-section (2) are not complied with, the set off of loss or allowance of depreciation made in any previous year in the hands of the amalgamated company shall be deemed to be the income of the amalgamated company chargeable to tax for the year in which such conditions are not complied with.</w:t>
      </w:r>
    </w:p>
    <w:p w:rsidR="00480514" w:rsidRPr="004945F4"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color w:val="444444"/>
          <w:sz w:val="24"/>
          <w:szCs w:val="24"/>
          <w:lang w:eastAsia="en-IN" w:bidi="hi-IN"/>
        </w:rPr>
        <w:t>(4) Notwithstanding anything contained in any other provisions of this Act, in the case of a demerger, the accumulated loss and the allowance for unabsorbed depreciation of the demerged company shall—</w:t>
      </w:r>
    </w:p>
    <w:p w:rsidR="00480514" w:rsidRPr="004945F4"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color w:val="444444"/>
          <w:sz w:val="24"/>
          <w:szCs w:val="24"/>
          <w:lang w:eastAsia="en-IN" w:bidi="hi-IN"/>
        </w:rPr>
        <w:t>(</w:t>
      </w:r>
      <w:r w:rsidRPr="004945F4">
        <w:rPr>
          <w:rFonts w:ascii="Times New Roman" w:eastAsia="Times New Roman" w:hAnsi="Times New Roman" w:cs="Times New Roman"/>
          <w:i/>
          <w:iCs/>
          <w:color w:val="444444"/>
          <w:sz w:val="24"/>
          <w:szCs w:val="24"/>
          <w:lang w:eastAsia="en-IN" w:bidi="hi-IN"/>
        </w:rPr>
        <w:t>a</w:t>
      </w:r>
      <w:r w:rsidRPr="004945F4">
        <w:rPr>
          <w:rFonts w:ascii="Times New Roman" w:eastAsia="Times New Roman" w:hAnsi="Times New Roman" w:cs="Times New Roman"/>
          <w:color w:val="444444"/>
          <w:sz w:val="24"/>
          <w:szCs w:val="24"/>
          <w:lang w:eastAsia="en-IN" w:bidi="hi-IN"/>
        </w:rPr>
        <w:t>) Where such loss or unabsorbed depreciation is directly relatable to the undertakings transferred to the resulting company, be allowed to be carried forward and set off in the hands of the resulting company;</w:t>
      </w:r>
    </w:p>
    <w:p w:rsidR="00480514" w:rsidRPr="004945F4"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color w:val="444444"/>
          <w:sz w:val="24"/>
          <w:szCs w:val="24"/>
          <w:lang w:eastAsia="en-IN" w:bidi="hi-IN"/>
        </w:rPr>
        <w:t>(</w:t>
      </w:r>
      <w:r w:rsidRPr="004945F4">
        <w:rPr>
          <w:rFonts w:ascii="Times New Roman" w:eastAsia="Times New Roman" w:hAnsi="Times New Roman" w:cs="Times New Roman"/>
          <w:i/>
          <w:iCs/>
          <w:color w:val="444444"/>
          <w:sz w:val="24"/>
          <w:szCs w:val="24"/>
          <w:lang w:eastAsia="en-IN" w:bidi="hi-IN"/>
        </w:rPr>
        <w:t>b</w:t>
      </w:r>
      <w:r w:rsidRPr="004945F4">
        <w:rPr>
          <w:rFonts w:ascii="Times New Roman" w:eastAsia="Times New Roman" w:hAnsi="Times New Roman" w:cs="Times New Roman"/>
          <w:color w:val="444444"/>
          <w:sz w:val="24"/>
          <w:szCs w:val="24"/>
          <w:lang w:eastAsia="en-IN" w:bidi="hi-IN"/>
        </w:rPr>
        <w:t>) where such loss or unabsorbed depreciation is not directly relatable to the undertakings transferred to the resulting company, be apportioned between the demerged company and the resulting company in the same proportion in which the assets of the undertakings have been retained by the demerged company and transferred to the resulting company, and be allowed to be carried forward and set off in the hands of the demerged company or the resulting company, as the case may be.</w:t>
      </w:r>
    </w:p>
    <w:p w:rsidR="00480514" w:rsidRPr="004945F4"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color w:val="444444"/>
          <w:sz w:val="24"/>
          <w:szCs w:val="24"/>
          <w:lang w:eastAsia="en-IN" w:bidi="hi-IN"/>
        </w:rPr>
        <w:t>(5) The Central Government may, for the purposes of this Act, by notification in the Official Gazette, specify such conditions as it considers necessary to ensure that the demerger is for genuine business purposes.</w:t>
      </w:r>
    </w:p>
    <w:p w:rsidR="00480514" w:rsidRPr="004945F4"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color w:val="444444"/>
          <w:sz w:val="24"/>
          <w:szCs w:val="24"/>
          <w:lang w:eastAsia="en-IN" w:bidi="hi-IN"/>
        </w:rPr>
        <w:t>(6) Where there has been reorganisation of business, whereby, a firm is succeeded by a company fulfilling the conditions laid down in clause (</w:t>
      </w:r>
      <w:r w:rsidRPr="004945F4">
        <w:rPr>
          <w:rFonts w:ascii="Times New Roman" w:eastAsia="Times New Roman" w:hAnsi="Times New Roman" w:cs="Times New Roman"/>
          <w:i/>
          <w:iCs/>
          <w:color w:val="444444"/>
          <w:sz w:val="24"/>
          <w:szCs w:val="24"/>
          <w:lang w:eastAsia="en-IN" w:bidi="hi-IN"/>
        </w:rPr>
        <w:t>xiii</w:t>
      </w:r>
      <w:r w:rsidRPr="004945F4">
        <w:rPr>
          <w:rFonts w:ascii="Times New Roman" w:eastAsia="Times New Roman" w:hAnsi="Times New Roman" w:cs="Times New Roman"/>
          <w:color w:val="444444"/>
          <w:sz w:val="24"/>
          <w:szCs w:val="24"/>
          <w:lang w:eastAsia="en-IN" w:bidi="hi-IN"/>
        </w:rPr>
        <w:t>) of </w:t>
      </w:r>
      <w:hyperlink r:id="rId117" w:history="1">
        <w:r w:rsidRPr="004945F4">
          <w:rPr>
            <w:rFonts w:ascii="Times New Roman" w:eastAsia="Times New Roman" w:hAnsi="Times New Roman" w:cs="Times New Roman"/>
            <w:color w:val="663399"/>
            <w:sz w:val="24"/>
            <w:szCs w:val="24"/>
            <w:lang w:eastAsia="en-IN" w:bidi="hi-IN"/>
          </w:rPr>
          <w:t>section 47</w:t>
        </w:r>
      </w:hyperlink>
      <w:r w:rsidRPr="004945F4">
        <w:rPr>
          <w:rFonts w:ascii="Times New Roman" w:eastAsia="Times New Roman" w:hAnsi="Times New Roman" w:cs="Times New Roman"/>
          <w:color w:val="444444"/>
          <w:sz w:val="24"/>
          <w:szCs w:val="24"/>
          <w:lang w:eastAsia="en-IN" w:bidi="hi-IN"/>
        </w:rPr>
        <w:t> or a proprietary concern is succeeded by a company fulfilling the conditions laid down in clause (</w:t>
      </w:r>
      <w:r w:rsidRPr="004945F4">
        <w:rPr>
          <w:rFonts w:ascii="Times New Roman" w:eastAsia="Times New Roman" w:hAnsi="Times New Roman" w:cs="Times New Roman"/>
          <w:i/>
          <w:iCs/>
          <w:color w:val="444444"/>
          <w:sz w:val="24"/>
          <w:szCs w:val="24"/>
          <w:lang w:eastAsia="en-IN" w:bidi="hi-IN"/>
        </w:rPr>
        <w:t>xiv</w:t>
      </w:r>
      <w:r w:rsidRPr="004945F4">
        <w:rPr>
          <w:rFonts w:ascii="Times New Roman" w:eastAsia="Times New Roman" w:hAnsi="Times New Roman" w:cs="Times New Roman"/>
          <w:color w:val="444444"/>
          <w:sz w:val="24"/>
          <w:szCs w:val="24"/>
          <w:lang w:eastAsia="en-IN" w:bidi="hi-IN"/>
        </w:rPr>
        <w:t>) of </w:t>
      </w:r>
      <w:hyperlink r:id="rId118" w:history="1">
        <w:r w:rsidRPr="004945F4">
          <w:rPr>
            <w:rFonts w:ascii="Times New Roman" w:eastAsia="Times New Roman" w:hAnsi="Times New Roman" w:cs="Times New Roman"/>
            <w:color w:val="663399"/>
            <w:sz w:val="24"/>
            <w:szCs w:val="24"/>
            <w:lang w:eastAsia="en-IN" w:bidi="hi-IN"/>
          </w:rPr>
          <w:t>section 47</w:t>
        </w:r>
      </w:hyperlink>
      <w:r w:rsidRPr="004945F4">
        <w:rPr>
          <w:rFonts w:ascii="Times New Roman" w:eastAsia="Times New Roman" w:hAnsi="Times New Roman" w:cs="Times New Roman"/>
          <w:color w:val="444444"/>
          <w:sz w:val="24"/>
          <w:szCs w:val="24"/>
          <w:lang w:eastAsia="en-IN" w:bidi="hi-IN"/>
        </w:rPr>
        <w:t>, then, notwithstanding anything contained in any other provision of this Act, the accumulated loss and the unabsorbed depreciation of the predecessor firm or the proprietary concern, as the case may be, shall be deemed to be the loss or allowance for depreciation of the successor company for the purpose of previous year in which business reorganisation was effected and other provisions of this Act relating to set off and carry forward of loss and allowance for depreciation shall apply accordingly:</w:t>
      </w:r>
    </w:p>
    <w:p w:rsidR="00480514" w:rsidRPr="004945F4"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b/>
          <w:bCs/>
          <w:color w:val="444444"/>
          <w:sz w:val="24"/>
          <w:szCs w:val="24"/>
          <w:lang w:eastAsia="en-IN" w:bidi="hi-IN"/>
        </w:rPr>
        <w:t>Provided</w:t>
      </w:r>
      <w:r w:rsidRPr="004945F4">
        <w:rPr>
          <w:rFonts w:ascii="Times New Roman" w:eastAsia="Times New Roman" w:hAnsi="Times New Roman" w:cs="Times New Roman"/>
          <w:color w:val="444444"/>
          <w:sz w:val="24"/>
          <w:szCs w:val="24"/>
          <w:lang w:eastAsia="en-IN" w:bidi="hi-IN"/>
        </w:rPr>
        <w:t> that if any of the conditions laid down in the proviso to clause (</w:t>
      </w:r>
      <w:r w:rsidRPr="004945F4">
        <w:rPr>
          <w:rFonts w:ascii="Times New Roman" w:eastAsia="Times New Roman" w:hAnsi="Times New Roman" w:cs="Times New Roman"/>
          <w:i/>
          <w:iCs/>
          <w:color w:val="444444"/>
          <w:sz w:val="24"/>
          <w:szCs w:val="24"/>
          <w:lang w:eastAsia="en-IN" w:bidi="hi-IN"/>
        </w:rPr>
        <w:t>xiii</w:t>
      </w:r>
      <w:r w:rsidRPr="004945F4">
        <w:rPr>
          <w:rFonts w:ascii="Times New Roman" w:eastAsia="Times New Roman" w:hAnsi="Times New Roman" w:cs="Times New Roman"/>
          <w:color w:val="444444"/>
          <w:sz w:val="24"/>
          <w:szCs w:val="24"/>
          <w:lang w:eastAsia="en-IN" w:bidi="hi-IN"/>
        </w:rPr>
        <w:t>) or the proviso to clause (</w:t>
      </w:r>
      <w:r w:rsidRPr="004945F4">
        <w:rPr>
          <w:rFonts w:ascii="Times New Roman" w:eastAsia="Times New Roman" w:hAnsi="Times New Roman" w:cs="Times New Roman"/>
          <w:i/>
          <w:iCs/>
          <w:color w:val="444444"/>
          <w:sz w:val="24"/>
          <w:szCs w:val="24"/>
          <w:lang w:eastAsia="en-IN" w:bidi="hi-IN"/>
        </w:rPr>
        <w:t>xiv</w:t>
      </w:r>
      <w:r w:rsidRPr="004945F4">
        <w:rPr>
          <w:rFonts w:ascii="Times New Roman" w:eastAsia="Times New Roman" w:hAnsi="Times New Roman" w:cs="Times New Roman"/>
          <w:color w:val="444444"/>
          <w:sz w:val="24"/>
          <w:szCs w:val="24"/>
          <w:lang w:eastAsia="en-IN" w:bidi="hi-IN"/>
        </w:rPr>
        <w:t>) to </w:t>
      </w:r>
      <w:hyperlink r:id="rId119" w:history="1">
        <w:r w:rsidRPr="004945F4">
          <w:rPr>
            <w:rFonts w:ascii="Times New Roman" w:eastAsia="Times New Roman" w:hAnsi="Times New Roman" w:cs="Times New Roman"/>
            <w:color w:val="663399"/>
            <w:sz w:val="24"/>
            <w:szCs w:val="24"/>
            <w:lang w:eastAsia="en-IN" w:bidi="hi-IN"/>
          </w:rPr>
          <w:t>section 47</w:t>
        </w:r>
      </w:hyperlink>
      <w:r w:rsidRPr="004945F4">
        <w:rPr>
          <w:rFonts w:ascii="Times New Roman" w:eastAsia="Times New Roman" w:hAnsi="Times New Roman" w:cs="Times New Roman"/>
          <w:color w:val="444444"/>
          <w:sz w:val="24"/>
          <w:szCs w:val="24"/>
          <w:lang w:eastAsia="en-IN" w:bidi="hi-IN"/>
        </w:rPr>
        <w:t> are not complied with, the set off of loss or allowance of depreciation made in any previous year in the hands of the successor company, shall be deemed to be the income of the company chargeable to tax in the year in which such conditions are not complied with.</w:t>
      </w:r>
    </w:p>
    <w:p w:rsidR="00480514" w:rsidRPr="004945F4"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color w:val="444444"/>
          <w:sz w:val="24"/>
          <w:szCs w:val="24"/>
          <w:lang w:eastAsia="en-IN" w:bidi="hi-IN"/>
        </w:rPr>
        <w:t xml:space="preserve">(6A) Where there has been reorganisation of business whereby a private company or unlisted public company is succeeded by a limited liability partnership fulfilling the conditions laid </w:t>
      </w:r>
      <w:r w:rsidRPr="004945F4">
        <w:rPr>
          <w:rFonts w:ascii="Times New Roman" w:eastAsia="Times New Roman" w:hAnsi="Times New Roman" w:cs="Times New Roman"/>
          <w:color w:val="444444"/>
          <w:sz w:val="24"/>
          <w:szCs w:val="24"/>
          <w:lang w:eastAsia="en-IN" w:bidi="hi-IN"/>
        </w:rPr>
        <w:lastRenderedPageBreak/>
        <w:t>down in the proviso to clause (</w:t>
      </w:r>
      <w:r w:rsidRPr="004945F4">
        <w:rPr>
          <w:rFonts w:ascii="Times New Roman" w:eastAsia="Times New Roman" w:hAnsi="Times New Roman" w:cs="Times New Roman"/>
          <w:i/>
          <w:iCs/>
          <w:color w:val="444444"/>
          <w:sz w:val="24"/>
          <w:szCs w:val="24"/>
          <w:lang w:eastAsia="en-IN" w:bidi="hi-IN"/>
        </w:rPr>
        <w:t>xiiib</w:t>
      </w:r>
      <w:r w:rsidRPr="004945F4">
        <w:rPr>
          <w:rFonts w:ascii="Times New Roman" w:eastAsia="Times New Roman" w:hAnsi="Times New Roman" w:cs="Times New Roman"/>
          <w:color w:val="444444"/>
          <w:sz w:val="24"/>
          <w:szCs w:val="24"/>
          <w:lang w:eastAsia="en-IN" w:bidi="hi-IN"/>
        </w:rPr>
        <w:t>) of </w:t>
      </w:r>
      <w:hyperlink r:id="rId120" w:history="1">
        <w:r w:rsidRPr="004945F4">
          <w:rPr>
            <w:rFonts w:ascii="Times New Roman" w:eastAsia="Times New Roman" w:hAnsi="Times New Roman" w:cs="Times New Roman"/>
            <w:color w:val="663399"/>
            <w:sz w:val="24"/>
            <w:szCs w:val="24"/>
            <w:lang w:eastAsia="en-IN" w:bidi="hi-IN"/>
          </w:rPr>
          <w:t>section 47</w:t>
        </w:r>
      </w:hyperlink>
      <w:r w:rsidRPr="004945F4">
        <w:rPr>
          <w:rFonts w:ascii="Times New Roman" w:eastAsia="Times New Roman" w:hAnsi="Times New Roman" w:cs="Times New Roman"/>
          <w:color w:val="444444"/>
          <w:sz w:val="24"/>
          <w:szCs w:val="24"/>
          <w:lang w:eastAsia="en-IN" w:bidi="hi-IN"/>
        </w:rPr>
        <w:t>, then, notwithstanding anything contained in any other provision of this Act, the accumulated loss and the unabsorbed depreciation of the predecessor company, shall be deemed to be the loss or allowance for depreciation of the successor limited liability partnership for the purpose of the previous year in which business reorganisation was effected and other provisions of this Act relating to set off and carry forward of loss and allowance for depreciation shall apply accordingly:</w:t>
      </w:r>
    </w:p>
    <w:p w:rsidR="00480514" w:rsidRPr="004945F4"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b/>
          <w:bCs/>
          <w:color w:val="444444"/>
          <w:sz w:val="24"/>
          <w:szCs w:val="24"/>
          <w:lang w:eastAsia="en-IN" w:bidi="hi-IN"/>
        </w:rPr>
        <w:t>Provided</w:t>
      </w:r>
      <w:r w:rsidRPr="004945F4">
        <w:rPr>
          <w:rFonts w:ascii="Times New Roman" w:eastAsia="Times New Roman" w:hAnsi="Times New Roman" w:cs="Times New Roman"/>
          <w:color w:val="444444"/>
          <w:sz w:val="24"/>
          <w:szCs w:val="24"/>
          <w:lang w:eastAsia="en-IN" w:bidi="hi-IN"/>
        </w:rPr>
        <w:t> that if any of the conditions laid down in the proviso to clause (</w:t>
      </w:r>
      <w:r w:rsidRPr="004945F4">
        <w:rPr>
          <w:rFonts w:ascii="Times New Roman" w:eastAsia="Times New Roman" w:hAnsi="Times New Roman" w:cs="Times New Roman"/>
          <w:i/>
          <w:iCs/>
          <w:color w:val="444444"/>
          <w:sz w:val="24"/>
          <w:szCs w:val="24"/>
          <w:lang w:eastAsia="en-IN" w:bidi="hi-IN"/>
        </w:rPr>
        <w:t>xiiib</w:t>
      </w:r>
      <w:r w:rsidRPr="004945F4">
        <w:rPr>
          <w:rFonts w:ascii="Times New Roman" w:eastAsia="Times New Roman" w:hAnsi="Times New Roman" w:cs="Times New Roman"/>
          <w:color w:val="444444"/>
          <w:sz w:val="24"/>
          <w:szCs w:val="24"/>
          <w:lang w:eastAsia="en-IN" w:bidi="hi-IN"/>
        </w:rPr>
        <w:t>) of </w:t>
      </w:r>
      <w:hyperlink r:id="rId121" w:history="1">
        <w:r w:rsidRPr="004945F4">
          <w:rPr>
            <w:rFonts w:ascii="Times New Roman" w:eastAsia="Times New Roman" w:hAnsi="Times New Roman" w:cs="Times New Roman"/>
            <w:color w:val="663399"/>
            <w:sz w:val="24"/>
            <w:szCs w:val="24"/>
            <w:lang w:eastAsia="en-IN" w:bidi="hi-IN"/>
          </w:rPr>
          <w:t>section 47</w:t>
        </w:r>
      </w:hyperlink>
      <w:r w:rsidRPr="004945F4">
        <w:rPr>
          <w:rFonts w:ascii="Times New Roman" w:eastAsia="Times New Roman" w:hAnsi="Times New Roman" w:cs="Times New Roman"/>
          <w:color w:val="444444"/>
          <w:sz w:val="24"/>
          <w:szCs w:val="24"/>
          <w:lang w:eastAsia="en-IN" w:bidi="hi-IN"/>
        </w:rPr>
        <w:t> are not complied with, the set off of loss or allowance of depreciation made in any previous year in the hands of the successor limited liability partnership, shall be deemed to be the income of the limited liability partnership chargeable to tax in the year in which such conditions are not complied with.</w:t>
      </w:r>
    </w:p>
    <w:p w:rsidR="00480514" w:rsidRPr="004945F4"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color w:val="444444"/>
          <w:sz w:val="24"/>
          <w:szCs w:val="24"/>
          <w:lang w:eastAsia="en-IN" w:bidi="hi-IN"/>
        </w:rPr>
        <w:t>(7) For the purposes of this section,—</w:t>
      </w:r>
    </w:p>
    <w:p w:rsidR="00480514" w:rsidRPr="004945F4"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color w:val="444444"/>
          <w:sz w:val="24"/>
          <w:szCs w:val="24"/>
          <w:lang w:eastAsia="en-IN" w:bidi="hi-IN"/>
        </w:rPr>
        <w:t>(</w:t>
      </w:r>
      <w:r w:rsidRPr="004945F4">
        <w:rPr>
          <w:rFonts w:ascii="Times New Roman" w:eastAsia="Times New Roman" w:hAnsi="Times New Roman" w:cs="Times New Roman"/>
          <w:i/>
          <w:iCs/>
          <w:color w:val="444444"/>
          <w:sz w:val="24"/>
          <w:szCs w:val="24"/>
          <w:lang w:eastAsia="en-IN" w:bidi="hi-IN"/>
        </w:rPr>
        <w:t>a</w:t>
      </w:r>
      <w:r w:rsidRPr="004945F4">
        <w:rPr>
          <w:rFonts w:ascii="Times New Roman" w:eastAsia="Times New Roman" w:hAnsi="Times New Roman" w:cs="Times New Roman"/>
          <w:color w:val="444444"/>
          <w:sz w:val="24"/>
          <w:szCs w:val="24"/>
          <w:lang w:eastAsia="en-IN" w:bidi="hi-IN"/>
        </w:rPr>
        <w:t>) "accumulated loss" means so much of the loss of the predecessor firm or the proprietary concern or the private company or unlisted public company before conversion into limited liability partnership or the amalgamating company or the demerged company, as the case may be, under the head "Profits and gains of business or profession" (not being a loss sustained in a speculation business) which such predecessor firm or the proprietary concern or the company or amalgamating company or demerged company, would have been entitled to carry forward and set off under the provisions of </w:t>
      </w:r>
      <w:hyperlink r:id="rId122" w:history="1">
        <w:r w:rsidRPr="004945F4">
          <w:rPr>
            <w:rFonts w:ascii="Times New Roman" w:eastAsia="Times New Roman" w:hAnsi="Times New Roman" w:cs="Times New Roman"/>
            <w:color w:val="663399"/>
            <w:sz w:val="24"/>
            <w:szCs w:val="24"/>
            <w:lang w:eastAsia="en-IN" w:bidi="hi-IN"/>
          </w:rPr>
          <w:t>section 72</w:t>
        </w:r>
      </w:hyperlink>
      <w:r w:rsidRPr="004945F4">
        <w:rPr>
          <w:rFonts w:ascii="Times New Roman" w:eastAsia="Times New Roman" w:hAnsi="Times New Roman" w:cs="Times New Roman"/>
          <w:color w:val="444444"/>
          <w:sz w:val="24"/>
          <w:szCs w:val="24"/>
          <w:lang w:eastAsia="en-IN" w:bidi="hi-IN"/>
        </w:rPr>
        <w:t> if the reorganisation of business or conversion or amalgamation or demerger had not taken place;</w:t>
      </w:r>
    </w:p>
    <w:p w:rsidR="00480514" w:rsidRPr="004945F4"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color w:val="444444"/>
          <w:sz w:val="24"/>
          <w:szCs w:val="24"/>
          <w:lang w:eastAsia="en-IN" w:bidi="hi-IN"/>
        </w:rPr>
        <w:t>(</w:t>
      </w:r>
      <w:proofErr w:type="gramStart"/>
      <w:r w:rsidRPr="004945F4">
        <w:rPr>
          <w:rFonts w:ascii="Times New Roman" w:eastAsia="Times New Roman" w:hAnsi="Times New Roman" w:cs="Times New Roman"/>
          <w:i/>
          <w:iCs/>
          <w:color w:val="444444"/>
          <w:sz w:val="24"/>
          <w:szCs w:val="24"/>
          <w:lang w:eastAsia="en-IN" w:bidi="hi-IN"/>
        </w:rPr>
        <w:t>aa</w:t>
      </w:r>
      <w:proofErr w:type="gramEnd"/>
      <w:r w:rsidRPr="004945F4">
        <w:rPr>
          <w:rFonts w:ascii="Times New Roman" w:eastAsia="Times New Roman" w:hAnsi="Times New Roman" w:cs="Times New Roman"/>
          <w:color w:val="444444"/>
          <w:sz w:val="24"/>
          <w:szCs w:val="24"/>
          <w:lang w:eastAsia="en-IN" w:bidi="hi-IN"/>
        </w:rPr>
        <w:t>) "Industrial undertaking" means any undertaking which is engaged in—</w:t>
      </w:r>
    </w:p>
    <w:p w:rsidR="00480514" w:rsidRPr="004945F4" w:rsidRDefault="00480514" w:rsidP="00480514">
      <w:pPr>
        <w:shd w:val="clear" w:color="auto" w:fill="FFFFFF"/>
        <w:spacing w:after="80" w:line="240" w:lineRule="auto"/>
        <w:ind w:left="1247" w:hanging="454"/>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color w:val="444444"/>
          <w:sz w:val="24"/>
          <w:szCs w:val="24"/>
          <w:lang w:eastAsia="en-IN" w:bidi="hi-IN"/>
        </w:rPr>
        <w:t>  (</w:t>
      </w:r>
      <w:r w:rsidRPr="004945F4">
        <w:rPr>
          <w:rFonts w:ascii="Times New Roman" w:eastAsia="Times New Roman" w:hAnsi="Times New Roman" w:cs="Times New Roman"/>
          <w:i/>
          <w:iCs/>
          <w:color w:val="444444"/>
          <w:sz w:val="24"/>
          <w:szCs w:val="24"/>
          <w:lang w:eastAsia="en-IN" w:bidi="hi-IN"/>
        </w:rPr>
        <w:t>i</w:t>
      </w:r>
      <w:r w:rsidRPr="004945F4">
        <w:rPr>
          <w:rFonts w:ascii="Times New Roman" w:eastAsia="Times New Roman" w:hAnsi="Times New Roman" w:cs="Times New Roman"/>
          <w:color w:val="444444"/>
          <w:sz w:val="24"/>
          <w:szCs w:val="24"/>
          <w:lang w:eastAsia="en-IN" w:bidi="hi-IN"/>
        </w:rPr>
        <w:t>) The manufacture or processing of goods; or</w:t>
      </w:r>
    </w:p>
    <w:p w:rsidR="00480514" w:rsidRPr="004945F4" w:rsidRDefault="00480514" w:rsidP="00480514">
      <w:pPr>
        <w:shd w:val="clear" w:color="auto" w:fill="FFFFFF"/>
        <w:spacing w:after="80" w:line="240" w:lineRule="auto"/>
        <w:ind w:left="1247" w:hanging="454"/>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color w:val="444444"/>
          <w:sz w:val="24"/>
          <w:szCs w:val="24"/>
          <w:lang w:eastAsia="en-IN" w:bidi="hi-IN"/>
        </w:rPr>
        <w:t> (</w:t>
      </w:r>
      <w:r w:rsidRPr="004945F4">
        <w:rPr>
          <w:rFonts w:ascii="Times New Roman" w:eastAsia="Times New Roman" w:hAnsi="Times New Roman" w:cs="Times New Roman"/>
          <w:i/>
          <w:iCs/>
          <w:color w:val="444444"/>
          <w:sz w:val="24"/>
          <w:szCs w:val="24"/>
          <w:lang w:eastAsia="en-IN" w:bidi="hi-IN"/>
        </w:rPr>
        <w:t>ii</w:t>
      </w:r>
      <w:r w:rsidRPr="004945F4">
        <w:rPr>
          <w:rFonts w:ascii="Times New Roman" w:eastAsia="Times New Roman" w:hAnsi="Times New Roman" w:cs="Times New Roman"/>
          <w:color w:val="444444"/>
          <w:sz w:val="24"/>
          <w:szCs w:val="24"/>
          <w:lang w:eastAsia="en-IN" w:bidi="hi-IN"/>
        </w:rPr>
        <w:t>) The manufacture of computer software; or</w:t>
      </w:r>
    </w:p>
    <w:p w:rsidR="00480514" w:rsidRPr="004945F4" w:rsidRDefault="00480514" w:rsidP="00480514">
      <w:pPr>
        <w:shd w:val="clear" w:color="auto" w:fill="FFFFFF"/>
        <w:spacing w:after="80" w:line="240" w:lineRule="auto"/>
        <w:ind w:left="1247" w:hanging="454"/>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color w:val="444444"/>
          <w:sz w:val="24"/>
          <w:szCs w:val="24"/>
          <w:lang w:eastAsia="en-IN" w:bidi="hi-IN"/>
        </w:rPr>
        <w:t>(</w:t>
      </w:r>
      <w:r w:rsidRPr="004945F4">
        <w:rPr>
          <w:rFonts w:ascii="Times New Roman" w:eastAsia="Times New Roman" w:hAnsi="Times New Roman" w:cs="Times New Roman"/>
          <w:i/>
          <w:iCs/>
          <w:color w:val="444444"/>
          <w:sz w:val="24"/>
          <w:szCs w:val="24"/>
          <w:lang w:eastAsia="en-IN" w:bidi="hi-IN"/>
        </w:rPr>
        <w:t>iii</w:t>
      </w:r>
      <w:r w:rsidRPr="004945F4">
        <w:rPr>
          <w:rFonts w:ascii="Times New Roman" w:eastAsia="Times New Roman" w:hAnsi="Times New Roman" w:cs="Times New Roman"/>
          <w:color w:val="444444"/>
          <w:sz w:val="24"/>
          <w:szCs w:val="24"/>
          <w:lang w:eastAsia="en-IN" w:bidi="hi-IN"/>
        </w:rPr>
        <w:t>) The business of generation or distribution of electricity or any other form of power; or</w:t>
      </w:r>
    </w:p>
    <w:p w:rsidR="00480514" w:rsidRPr="004945F4" w:rsidRDefault="00480514" w:rsidP="00480514">
      <w:pPr>
        <w:shd w:val="clear" w:color="auto" w:fill="FFFFFF"/>
        <w:spacing w:after="80" w:line="240" w:lineRule="auto"/>
        <w:ind w:left="1247" w:hanging="510"/>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color w:val="444444"/>
          <w:sz w:val="24"/>
          <w:szCs w:val="24"/>
          <w:lang w:eastAsia="en-IN" w:bidi="hi-IN"/>
        </w:rPr>
        <w:t>(</w:t>
      </w:r>
      <w:r w:rsidRPr="004945F4">
        <w:rPr>
          <w:rFonts w:ascii="Times New Roman" w:eastAsia="Times New Roman" w:hAnsi="Times New Roman" w:cs="Times New Roman"/>
          <w:i/>
          <w:iCs/>
          <w:color w:val="444444"/>
          <w:sz w:val="24"/>
          <w:szCs w:val="24"/>
          <w:lang w:eastAsia="en-IN" w:bidi="hi-IN"/>
        </w:rPr>
        <w:t>iiia</w:t>
      </w:r>
      <w:r w:rsidRPr="004945F4">
        <w:rPr>
          <w:rFonts w:ascii="Times New Roman" w:eastAsia="Times New Roman" w:hAnsi="Times New Roman" w:cs="Times New Roman"/>
          <w:color w:val="444444"/>
          <w:sz w:val="24"/>
          <w:szCs w:val="24"/>
          <w:lang w:eastAsia="en-IN" w:bidi="hi-IN"/>
        </w:rPr>
        <w:t>) the business of providing telecommunication services, whether basic or cellular, including radio paging, domestic satellite service, network of trunking, broadband network and internet services; or</w:t>
      </w:r>
    </w:p>
    <w:p w:rsidR="00480514" w:rsidRPr="004945F4" w:rsidRDefault="00480514" w:rsidP="00480514">
      <w:pPr>
        <w:shd w:val="clear" w:color="auto" w:fill="FFFFFF"/>
        <w:spacing w:after="80" w:line="240" w:lineRule="auto"/>
        <w:ind w:left="1247" w:hanging="454"/>
        <w:jc w:val="both"/>
        <w:rPr>
          <w:rFonts w:ascii="Times New Roman" w:eastAsia="Times New Roman" w:hAnsi="Times New Roman" w:cs="Times New Roman"/>
          <w:color w:val="444444"/>
          <w:sz w:val="24"/>
          <w:szCs w:val="24"/>
          <w:lang w:eastAsia="en-IN" w:bidi="hi-IN"/>
        </w:rPr>
      </w:pPr>
      <w:proofErr w:type="gramStart"/>
      <w:r w:rsidRPr="004945F4">
        <w:rPr>
          <w:rFonts w:ascii="Times New Roman" w:eastAsia="Times New Roman" w:hAnsi="Times New Roman" w:cs="Times New Roman"/>
          <w:color w:val="444444"/>
          <w:sz w:val="24"/>
          <w:szCs w:val="24"/>
          <w:lang w:eastAsia="en-IN" w:bidi="hi-IN"/>
        </w:rPr>
        <w:t>(</w:t>
      </w:r>
      <w:r w:rsidRPr="004945F4">
        <w:rPr>
          <w:rFonts w:ascii="Times New Roman" w:eastAsia="Times New Roman" w:hAnsi="Times New Roman" w:cs="Times New Roman"/>
          <w:i/>
          <w:iCs/>
          <w:color w:val="444444"/>
          <w:sz w:val="24"/>
          <w:szCs w:val="24"/>
          <w:lang w:eastAsia="en-IN" w:bidi="hi-IN"/>
        </w:rPr>
        <w:t>iv</w:t>
      </w:r>
      <w:r w:rsidRPr="004945F4">
        <w:rPr>
          <w:rFonts w:ascii="Times New Roman" w:eastAsia="Times New Roman" w:hAnsi="Times New Roman" w:cs="Times New Roman"/>
          <w:color w:val="444444"/>
          <w:sz w:val="24"/>
          <w:szCs w:val="24"/>
          <w:lang w:eastAsia="en-IN" w:bidi="hi-IN"/>
        </w:rPr>
        <w:t>) Mining</w:t>
      </w:r>
      <w:proofErr w:type="gramEnd"/>
      <w:r w:rsidRPr="004945F4">
        <w:rPr>
          <w:rFonts w:ascii="Times New Roman" w:eastAsia="Times New Roman" w:hAnsi="Times New Roman" w:cs="Times New Roman"/>
          <w:color w:val="444444"/>
          <w:sz w:val="24"/>
          <w:szCs w:val="24"/>
          <w:lang w:eastAsia="en-IN" w:bidi="hi-IN"/>
        </w:rPr>
        <w:t>; or</w:t>
      </w:r>
    </w:p>
    <w:p w:rsidR="00480514" w:rsidRPr="004945F4" w:rsidRDefault="00480514" w:rsidP="00480514">
      <w:pPr>
        <w:shd w:val="clear" w:color="auto" w:fill="FFFFFF"/>
        <w:spacing w:after="80" w:line="240" w:lineRule="auto"/>
        <w:ind w:left="1247" w:hanging="454"/>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color w:val="444444"/>
          <w:sz w:val="24"/>
          <w:szCs w:val="24"/>
          <w:lang w:eastAsia="en-IN" w:bidi="hi-IN"/>
        </w:rPr>
        <w:t>(</w:t>
      </w:r>
      <w:r w:rsidRPr="004945F4">
        <w:rPr>
          <w:rFonts w:ascii="Times New Roman" w:eastAsia="Times New Roman" w:hAnsi="Times New Roman" w:cs="Times New Roman"/>
          <w:i/>
          <w:iCs/>
          <w:color w:val="444444"/>
          <w:sz w:val="24"/>
          <w:szCs w:val="24"/>
          <w:lang w:eastAsia="en-IN" w:bidi="hi-IN"/>
        </w:rPr>
        <w:t>v</w:t>
      </w:r>
      <w:r w:rsidRPr="004945F4">
        <w:rPr>
          <w:rFonts w:ascii="Times New Roman" w:eastAsia="Times New Roman" w:hAnsi="Times New Roman" w:cs="Times New Roman"/>
          <w:color w:val="444444"/>
          <w:sz w:val="24"/>
          <w:szCs w:val="24"/>
          <w:lang w:eastAsia="en-IN" w:bidi="hi-IN"/>
        </w:rPr>
        <w:t>) The construction of ships, aircrafts or rail systems;</w:t>
      </w:r>
    </w:p>
    <w:p w:rsidR="00480514" w:rsidRPr="004945F4"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color w:val="444444"/>
          <w:sz w:val="24"/>
          <w:szCs w:val="24"/>
          <w:lang w:eastAsia="en-IN" w:bidi="hi-IN"/>
        </w:rPr>
        <w:t>(</w:t>
      </w:r>
      <w:r w:rsidRPr="004945F4">
        <w:rPr>
          <w:rFonts w:ascii="Times New Roman" w:eastAsia="Times New Roman" w:hAnsi="Times New Roman" w:cs="Times New Roman"/>
          <w:i/>
          <w:iCs/>
          <w:color w:val="444444"/>
          <w:sz w:val="24"/>
          <w:szCs w:val="24"/>
          <w:lang w:eastAsia="en-IN" w:bidi="hi-IN"/>
        </w:rPr>
        <w:t>b</w:t>
      </w:r>
      <w:r w:rsidRPr="004945F4">
        <w:rPr>
          <w:rFonts w:ascii="Times New Roman" w:eastAsia="Times New Roman" w:hAnsi="Times New Roman" w:cs="Times New Roman"/>
          <w:color w:val="444444"/>
          <w:sz w:val="24"/>
          <w:szCs w:val="24"/>
          <w:lang w:eastAsia="en-IN" w:bidi="hi-IN"/>
        </w:rPr>
        <w:t>) "unabsorbed depreciation" means so much of the allowance for depreciation of the predecessor firm or the proprietary concern or the private company or unlisted public company before conversion into limited liability partnership or the amalgamating company or the demerged company, as the case may be, which remains to be allowed and which would have been allowed to the predecessor firm or the proprietary concern or the company or amalgamating company or demerged company, as the case may be, under the provisions of this Act, if the reorganisation of business or conversion or amalgamation or demerger had not taken place;</w:t>
      </w:r>
    </w:p>
    <w:p w:rsidR="00480514" w:rsidRDefault="00480514" w:rsidP="00480514">
      <w:pPr>
        <w:pBdr>
          <w:bottom w:val="single" w:sz="6" w:space="1" w:color="auto"/>
        </w:pBd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4945F4">
        <w:rPr>
          <w:rFonts w:ascii="Times New Roman" w:eastAsia="Times New Roman" w:hAnsi="Times New Roman" w:cs="Times New Roman"/>
          <w:color w:val="444444"/>
          <w:sz w:val="24"/>
          <w:szCs w:val="24"/>
          <w:lang w:eastAsia="en-IN" w:bidi="hi-IN"/>
        </w:rPr>
        <w:lastRenderedPageBreak/>
        <w:t>(</w:t>
      </w:r>
      <w:r w:rsidRPr="004945F4">
        <w:rPr>
          <w:rFonts w:ascii="Times New Roman" w:eastAsia="Times New Roman" w:hAnsi="Times New Roman" w:cs="Times New Roman"/>
          <w:i/>
          <w:iCs/>
          <w:color w:val="444444"/>
          <w:sz w:val="24"/>
          <w:szCs w:val="24"/>
          <w:lang w:eastAsia="en-IN" w:bidi="hi-IN"/>
        </w:rPr>
        <w:t>c</w:t>
      </w:r>
      <w:r w:rsidRPr="004945F4">
        <w:rPr>
          <w:rFonts w:ascii="Times New Roman" w:eastAsia="Times New Roman" w:hAnsi="Times New Roman" w:cs="Times New Roman"/>
          <w:color w:val="444444"/>
          <w:sz w:val="24"/>
          <w:szCs w:val="24"/>
          <w:lang w:eastAsia="en-IN" w:bidi="hi-IN"/>
        </w:rPr>
        <w:t>) "specified bank" means the State Bank of India constituted under the State Bank of India Act, 1955 (23 of 1955) or a subsidiary bank as defined in the State Bank of India (Subsidiary Banks) Act, 1959 (38 of 1959) or a corresponding new bank constituted under section 3 of the Banking Companies (Acquisition and Transfer of Undertakings) Act, 1970 (5 of 1970) or under section 3 of the Banking Companies (Acquisition and Transfer of Undertakings) Act, 1980 (40 of 1980).</w:t>
      </w:r>
    </w:p>
    <w:p w:rsidR="00480514" w:rsidRPr="004945F4" w:rsidRDefault="00480514" w:rsidP="00480514">
      <w:pPr>
        <w:pBdr>
          <w:bottom w:val="single" w:sz="6" w:space="1" w:color="auto"/>
        </w:pBd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p>
    <w:p w:rsidR="00480514" w:rsidRDefault="00480514" w:rsidP="00480514">
      <w:pPr>
        <w:rPr>
          <w:rFonts w:ascii="Times New Roman" w:eastAsia="Times New Roman" w:hAnsi="Times New Roman" w:cs="Times New Roman"/>
          <w:sz w:val="24"/>
          <w:szCs w:val="24"/>
          <w:lang w:eastAsia="en-IN" w:bidi="hi-IN"/>
        </w:rPr>
      </w:pPr>
    </w:p>
    <w:p w:rsidR="00480514" w:rsidRPr="00A72E44" w:rsidRDefault="00480514" w:rsidP="00480514">
      <w:pPr>
        <w:shd w:val="clear" w:color="auto" w:fill="F7F7F7"/>
        <w:spacing w:before="100" w:beforeAutospacing="1" w:after="100" w:afterAutospacing="1" w:line="240" w:lineRule="auto"/>
        <w:jc w:val="center"/>
        <w:outlineLvl w:val="2"/>
        <w:rPr>
          <w:rFonts w:ascii="Segoe UI" w:eastAsia="Times New Roman" w:hAnsi="Segoe UI" w:cs="Segoe UI"/>
          <w:color w:val="7C7C7C"/>
          <w:sz w:val="20"/>
          <w:szCs w:val="20"/>
          <w:lang w:eastAsia="en-IN" w:bidi="hi-IN"/>
        </w:rPr>
      </w:pPr>
      <w:r w:rsidRPr="00A72E44">
        <w:rPr>
          <w:rFonts w:ascii="Segoe UI Semilight" w:eastAsia="Times New Roman" w:hAnsi="Segoe UI Semilight" w:cs="Segoe UI Semilight"/>
          <w:color w:val="7C7C7C"/>
          <w:sz w:val="21"/>
          <w:szCs w:val="21"/>
          <w:lang w:eastAsia="en-IN" w:bidi="hi-IN"/>
        </w:rPr>
        <w:br/>
        <w:t>Section - 72AA, Income-tax Act, 1961-2016</w:t>
      </w:r>
      <w:r w:rsidRPr="00A72E44">
        <w:rPr>
          <w:rFonts w:ascii="Segoe UI" w:eastAsia="Times New Roman" w:hAnsi="Segoe UI" w:cs="Segoe UI"/>
          <w:color w:val="7C7C7C"/>
          <w:sz w:val="20"/>
          <w:szCs w:val="20"/>
          <w:lang w:eastAsia="en-IN" w:bidi="hi-IN"/>
        </w:rPr>
        <w:t xml:space="preserve"> </w:t>
      </w:r>
    </w:p>
    <w:p w:rsidR="00480514" w:rsidRPr="00A72E44"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A72E44">
        <w:rPr>
          <w:rFonts w:ascii="Times New Roman" w:eastAsia="Times New Roman" w:hAnsi="Times New Roman" w:cs="Times New Roman"/>
          <w:b/>
          <w:bCs/>
          <w:color w:val="444444"/>
          <w:sz w:val="24"/>
          <w:szCs w:val="24"/>
          <w:lang w:eastAsia="en-IN" w:bidi="hi-IN"/>
        </w:rPr>
        <w:t>Provisions relating to carry forward and set-off of accumulated loss and unabsorbed depreciation allowance in scheme of amalgamation of banking company in certain cases.</w:t>
      </w:r>
    </w:p>
    <w:p w:rsidR="00480514" w:rsidRPr="00A72E44"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A72E44">
        <w:rPr>
          <w:rFonts w:ascii="Times New Roman" w:eastAsia="Times New Roman" w:hAnsi="Times New Roman" w:cs="Times New Roman"/>
          <w:b/>
          <w:bCs/>
          <w:color w:val="444444"/>
          <w:sz w:val="24"/>
          <w:szCs w:val="24"/>
          <w:lang w:eastAsia="en-IN" w:bidi="hi-IN"/>
        </w:rPr>
        <w:t>72AA.</w:t>
      </w:r>
      <w:r w:rsidRPr="00A72E44">
        <w:rPr>
          <w:rFonts w:ascii="Times New Roman" w:eastAsia="Times New Roman" w:hAnsi="Times New Roman" w:cs="Times New Roman"/>
          <w:color w:val="444444"/>
          <w:sz w:val="24"/>
          <w:szCs w:val="24"/>
          <w:lang w:eastAsia="en-IN" w:bidi="hi-IN"/>
        </w:rPr>
        <w:t> Notwithstanding anything contained in sub-clauses (</w:t>
      </w:r>
      <w:r w:rsidRPr="00A72E44">
        <w:rPr>
          <w:rFonts w:ascii="Times New Roman" w:eastAsia="Times New Roman" w:hAnsi="Times New Roman" w:cs="Times New Roman"/>
          <w:i/>
          <w:iCs/>
          <w:color w:val="444444"/>
          <w:sz w:val="24"/>
          <w:szCs w:val="24"/>
          <w:lang w:eastAsia="en-IN" w:bidi="hi-IN"/>
        </w:rPr>
        <w:t>i</w:t>
      </w:r>
      <w:r w:rsidRPr="00A72E44">
        <w:rPr>
          <w:rFonts w:ascii="Times New Roman" w:eastAsia="Times New Roman" w:hAnsi="Times New Roman" w:cs="Times New Roman"/>
          <w:color w:val="444444"/>
          <w:sz w:val="24"/>
          <w:szCs w:val="24"/>
          <w:lang w:eastAsia="en-IN" w:bidi="hi-IN"/>
        </w:rPr>
        <w:t>) to (</w:t>
      </w:r>
      <w:r w:rsidRPr="00A72E44">
        <w:rPr>
          <w:rFonts w:ascii="Times New Roman" w:eastAsia="Times New Roman" w:hAnsi="Times New Roman" w:cs="Times New Roman"/>
          <w:i/>
          <w:iCs/>
          <w:color w:val="444444"/>
          <w:sz w:val="24"/>
          <w:szCs w:val="24"/>
          <w:lang w:eastAsia="en-IN" w:bidi="hi-IN"/>
        </w:rPr>
        <w:t>iii</w:t>
      </w:r>
      <w:r w:rsidRPr="00A72E44">
        <w:rPr>
          <w:rFonts w:ascii="Times New Roman" w:eastAsia="Times New Roman" w:hAnsi="Times New Roman" w:cs="Times New Roman"/>
          <w:color w:val="444444"/>
          <w:sz w:val="24"/>
          <w:szCs w:val="24"/>
          <w:lang w:eastAsia="en-IN" w:bidi="hi-IN"/>
        </w:rPr>
        <w:t>) of clause (</w:t>
      </w:r>
      <w:r w:rsidRPr="00A72E44">
        <w:rPr>
          <w:rFonts w:ascii="Times New Roman" w:eastAsia="Times New Roman" w:hAnsi="Times New Roman" w:cs="Times New Roman"/>
          <w:i/>
          <w:iCs/>
          <w:color w:val="444444"/>
          <w:sz w:val="24"/>
          <w:szCs w:val="24"/>
          <w:lang w:eastAsia="en-IN" w:bidi="hi-IN"/>
        </w:rPr>
        <w:t>1B</w:t>
      </w:r>
      <w:r w:rsidRPr="00A72E44">
        <w:rPr>
          <w:rFonts w:ascii="Times New Roman" w:eastAsia="Times New Roman" w:hAnsi="Times New Roman" w:cs="Times New Roman"/>
          <w:color w:val="444444"/>
          <w:sz w:val="24"/>
          <w:szCs w:val="24"/>
          <w:lang w:eastAsia="en-IN" w:bidi="hi-IN"/>
        </w:rPr>
        <w:t>) of section 2 or section 72A, where there has been an amalgamation of a banking company with any other banking institution under a scheme sanctioned and brought into force by the Central Government under sub-section (7) of section 45 of the Banking Regulation Act, 1949 (10 of 1949), the accumulated loss and the unabsorbed depreciation of such banking company shall be deemed to be the loss or, as the case may be, allowance for depreciation of such banking institution for the previous year in which the scheme of amalgamation was brought into force and other provisions of this Act relating to set-off and carry forward of loss and allowance for depreciation shall apply accordingly.</w:t>
      </w:r>
    </w:p>
    <w:p w:rsidR="00480514" w:rsidRPr="00A72E44"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A72E44">
        <w:rPr>
          <w:rFonts w:ascii="Times New Roman" w:eastAsia="Times New Roman" w:hAnsi="Times New Roman" w:cs="Times New Roman"/>
          <w:i/>
          <w:iCs/>
          <w:color w:val="444444"/>
          <w:sz w:val="24"/>
          <w:szCs w:val="24"/>
          <w:lang w:eastAsia="en-IN" w:bidi="hi-IN"/>
        </w:rPr>
        <w:t>Explanation.—</w:t>
      </w:r>
      <w:r w:rsidRPr="00A72E44">
        <w:rPr>
          <w:rFonts w:ascii="Times New Roman" w:eastAsia="Times New Roman" w:hAnsi="Times New Roman" w:cs="Times New Roman"/>
          <w:color w:val="444444"/>
          <w:sz w:val="24"/>
          <w:szCs w:val="24"/>
          <w:lang w:eastAsia="en-IN" w:bidi="hi-IN"/>
        </w:rPr>
        <w:t>for the purposes of this section,—</w:t>
      </w:r>
    </w:p>
    <w:p w:rsidR="00480514" w:rsidRPr="00A72E44"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A72E44">
        <w:rPr>
          <w:rFonts w:ascii="Times New Roman" w:eastAsia="Times New Roman" w:hAnsi="Times New Roman" w:cs="Times New Roman"/>
          <w:color w:val="444444"/>
          <w:sz w:val="24"/>
          <w:szCs w:val="24"/>
          <w:lang w:eastAsia="en-IN" w:bidi="hi-IN"/>
        </w:rPr>
        <w:t>(</w:t>
      </w:r>
      <w:r w:rsidRPr="00A72E44">
        <w:rPr>
          <w:rFonts w:ascii="Times New Roman" w:eastAsia="Times New Roman" w:hAnsi="Times New Roman" w:cs="Times New Roman"/>
          <w:i/>
          <w:iCs/>
          <w:color w:val="444444"/>
          <w:sz w:val="24"/>
          <w:szCs w:val="24"/>
          <w:lang w:eastAsia="en-IN" w:bidi="hi-IN"/>
        </w:rPr>
        <w:t>i</w:t>
      </w:r>
      <w:r w:rsidRPr="00A72E44">
        <w:rPr>
          <w:rFonts w:ascii="Times New Roman" w:eastAsia="Times New Roman" w:hAnsi="Times New Roman" w:cs="Times New Roman"/>
          <w:color w:val="444444"/>
          <w:sz w:val="24"/>
          <w:szCs w:val="24"/>
          <w:lang w:eastAsia="en-IN" w:bidi="hi-IN"/>
        </w:rPr>
        <w:t>) "accumulated loss" means so much of the loss of the amalgamating banking company under the head "Profits and gains of business or profession" (not being a loss sustained in a speculation business) which such amalgamating banking company, would have been entitled to carry forward and set-off under the provisions of </w:t>
      </w:r>
      <w:hyperlink r:id="rId123" w:history="1">
        <w:r w:rsidRPr="00A72E44">
          <w:rPr>
            <w:rFonts w:ascii="Times New Roman" w:eastAsia="Times New Roman" w:hAnsi="Times New Roman" w:cs="Times New Roman"/>
            <w:color w:val="663399"/>
            <w:sz w:val="24"/>
            <w:szCs w:val="24"/>
            <w:lang w:eastAsia="en-IN" w:bidi="hi-IN"/>
          </w:rPr>
          <w:t>section 72</w:t>
        </w:r>
      </w:hyperlink>
      <w:r w:rsidRPr="00A72E44">
        <w:rPr>
          <w:rFonts w:ascii="Times New Roman" w:eastAsia="Times New Roman" w:hAnsi="Times New Roman" w:cs="Times New Roman"/>
          <w:color w:val="444444"/>
          <w:sz w:val="24"/>
          <w:szCs w:val="24"/>
          <w:lang w:eastAsia="en-IN" w:bidi="hi-IN"/>
        </w:rPr>
        <w:t> if the amalgamation had not taken place;</w:t>
      </w:r>
    </w:p>
    <w:p w:rsidR="00480514" w:rsidRPr="00A72E44"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A72E44">
        <w:rPr>
          <w:rFonts w:ascii="Times New Roman" w:eastAsia="Times New Roman" w:hAnsi="Times New Roman" w:cs="Times New Roman"/>
          <w:color w:val="444444"/>
          <w:sz w:val="24"/>
          <w:szCs w:val="24"/>
          <w:lang w:eastAsia="en-IN" w:bidi="hi-IN"/>
        </w:rPr>
        <w:t>(</w:t>
      </w:r>
      <w:r w:rsidRPr="00A72E44">
        <w:rPr>
          <w:rFonts w:ascii="Times New Roman" w:eastAsia="Times New Roman" w:hAnsi="Times New Roman" w:cs="Times New Roman"/>
          <w:i/>
          <w:iCs/>
          <w:color w:val="444444"/>
          <w:sz w:val="24"/>
          <w:szCs w:val="24"/>
          <w:lang w:eastAsia="en-IN" w:bidi="hi-IN"/>
        </w:rPr>
        <w:t>ii</w:t>
      </w:r>
      <w:r w:rsidRPr="00A72E44">
        <w:rPr>
          <w:rFonts w:ascii="Times New Roman" w:eastAsia="Times New Roman" w:hAnsi="Times New Roman" w:cs="Times New Roman"/>
          <w:color w:val="444444"/>
          <w:sz w:val="24"/>
          <w:szCs w:val="24"/>
          <w:lang w:eastAsia="en-IN" w:bidi="hi-IN"/>
        </w:rPr>
        <w:t>) "Banking company" shall have the same meaning assigned to it in clause (</w:t>
      </w:r>
      <w:r w:rsidRPr="00A72E44">
        <w:rPr>
          <w:rFonts w:ascii="Times New Roman" w:eastAsia="Times New Roman" w:hAnsi="Times New Roman" w:cs="Times New Roman"/>
          <w:i/>
          <w:iCs/>
          <w:color w:val="444444"/>
          <w:sz w:val="24"/>
          <w:szCs w:val="24"/>
          <w:lang w:eastAsia="en-IN" w:bidi="hi-IN"/>
        </w:rPr>
        <w:t>c</w:t>
      </w:r>
      <w:r w:rsidRPr="00A72E44">
        <w:rPr>
          <w:rFonts w:ascii="Times New Roman" w:eastAsia="Times New Roman" w:hAnsi="Times New Roman" w:cs="Times New Roman"/>
          <w:color w:val="444444"/>
          <w:sz w:val="24"/>
          <w:szCs w:val="24"/>
          <w:lang w:eastAsia="en-IN" w:bidi="hi-IN"/>
        </w:rPr>
        <w:t>) of section 5 of the Banking Regulation Act, 1949 (10 of 1949);</w:t>
      </w:r>
    </w:p>
    <w:p w:rsidR="00480514" w:rsidRPr="00A72E44"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A72E44">
        <w:rPr>
          <w:rFonts w:ascii="Times New Roman" w:eastAsia="Times New Roman" w:hAnsi="Times New Roman" w:cs="Times New Roman"/>
          <w:color w:val="444444"/>
          <w:sz w:val="24"/>
          <w:szCs w:val="24"/>
          <w:lang w:eastAsia="en-IN" w:bidi="hi-IN"/>
        </w:rPr>
        <w:t>(</w:t>
      </w:r>
      <w:r w:rsidRPr="00A72E44">
        <w:rPr>
          <w:rFonts w:ascii="Times New Roman" w:eastAsia="Times New Roman" w:hAnsi="Times New Roman" w:cs="Times New Roman"/>
          <w:i/>
          <w:iCs/>
          <w:color w:val="444444"/>
          <w:sz w:val="24"/>
          <w:szCs w:val="24"/>
          <w:lang w:eastAsia="en-IN" w:bidi="hi-IN"/>
        </w:rPr>
        <w:t>iii</w:t>
      </w:r>
      <w:r w:rsidRPr="00A72E44">
        <w:rPr>
          <w:rFonts w:ascii="Times New Roman" w:eastAsia="Times New Roman" w:hAnsi="Times New Roman" w:cs="Times New Roman"/>
          <w:color w:val="444444"/>
          <w:sz w:val="24"/>
          <w:szCs w:val="24"/>
          <w:lang w:eastAsia="en-IN" w:bidi="hi-IN"/>
        </w:rPr>
        <w:t>) "Banking institution" shall have the same meaning assigned to it in sub-section (15) of section 45 of the Banking Regulation Act, 1949 (10 of 1949);</w:t>
      </w:r>
    </w:p>
    <w:p w:rsidR="00480514" w:rsidRPr="00A72E44"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A72E44">
        <w:rPr>
          <w:rFonts w:ascii="Times New Roman" w:eastAsia="Times New Roman" w:hAnsi="Times New Roman" w:cs="Times New Roman"/>
          <w:color w:val="444444"/>
          <w:sz w:val="24"/>
          <w:szCs w:val="24"/>
          <w:lang w:eastAsia="en-IN" w:bidi="hi-IN"/>
        </w:rPr>
        <w:t>(</w:t>
      </w:r>
      <w:r w:rsidRPr="00A72E44">
        <w:rPr>
          <w:rFonts w:ascii="Times New Roman" w:eastAsia="Times New Roman" w:hAnsi="Times New Roman" w:cs="Times New Roman"/>
          <w:i/>
          <w:iCs/>
          <w:color w:val="444444"/>
          <w:sz w:val="24"/>
          <w:szCs w:val="24"/>
          <w:lang w:eastAsia="en-IN" w:bidi="hi-IN"/>
        </w:rPr>
        <w:t>iv</w:t>
      </w:r>
      <w:r w:rsidRPr="00A72E44">
        <w:rPr>
          <w:rFonts w:ascii="Times New Roman" w:eastAsia="Times New Roman" w:hAnsi="Times New Roman" w:cs="Times New Roman"/>
          <w:color w:val="444444"/>
          <w:sz w:val="24"/>
          <w:szCs w:val="24"/>
          <w:lang w:eastAsia="en-IN" w:bidi="hi-IN"/>
        </w:rPr>
        <w:t>) "unabsorbed depreciation" means so much of the allowance for depreciation of the amalgamating banking company which remains to be allowed and which would have been allowed to such banking company if amalgamation had not taken place.</w:t>
      </w:r>
    </w:p>
    <w:p w:rsidR="00480514" w:rsidRDefault="00480514" w:rsidP="00480514">
      <w:pPr>
        <w:pBdr>
          <w:bottom w:val="single" w:sz="6" w:space="1" w:color="auto"/>
        </w:pBdr>
      </w:pPr>
    </w:p>
    <w:p w:rsidR="00480514" w:rsidRDefault="00480514" w:rsidP="00480514"/>
    <w:p w:rsidR="00480514" w:rsidRPr="00A72E44" w:rsidRDefault="00480514" w:rsidP="00480514">
      <w:pPr>
        <w:shd w:val="clear" w:color="auto" w:fill="F7F7F7"/>
        <w:spacing w:before="100" w:beforeAutospacing="1" w:after="100" w:afterAutospacing="1" w:line="240" w:lineRule="auto"/>
        <w:jc w:val="center"/>
        <w:outlineLvl w:val="2"/>
        <w:rPr>
          <w:rFonts w:ascii="Segoe UI" w:eastAsia="Times New Roman" w:hAnsi="Segoe UI" w:cs="Segoe UI"/>
          <w:color w:val="7C7C7C"/>
          <w:sz w:val="20"/>
          <w:szCs w:val="20"/>
          <w:lang w:eastAsia="en-IN" w:bidi="hi-IN"/>
        </w:rPr>
      </w:pPr>
      <w:r w:rsidRPr="00A72E44">
        <w:rPr>
          <w:rFonts w:ascii="Segoe UI Semilight" w:eastAsia="Times New Roman" w:hAnsi="Segoe UI Semilight" w:cs="Segoe UI Semilight"/>
          <w:color w:val="7C7C7C"/>
          <w:sz w:val="21"/>
          <w:szCs w:val="21"/>
          <w:lang w:eastAsia="en-IN" w:bidi="hi-IN"/>
        </w:rPr>
        <w:lastRenderedPageBreak/>
        <w:br/>
        <w:t>Section - 72AB, Income-tax Act, 1961-2016</w:t>
      </w:r>
      <w:r w:rsidRPr="00A72E44">
        <w:rPr>
          <w:rFonts w:ascii="Segoe UI" w:eastAsia="Times New Roman" w:hAnsi="Segoe UI" w:cs="Segoe UI"/>
          <w:color w:val="7C7C7C"/>
          <w:sz w:val="20"/>
          <w:szCs w:val="20"/>
          <w:lang w:eastAsia="en-IN" w:bidi="hi-IN"/>
        </w:rPr>
        <w:t xml:space="preserve"> </w:t>
      </w:r>
    </w:p>
    <w:p w:rsidR="00480514" w:rsidRPr="00A72E44"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A72E44">
        <w:rPr>
          <w:rFonts w:ascii="Times New Roman" w:eastAsia="Times New Roman" w:hAnsi="Times New Roman" w:cs="Times New Roman"/>
          <w:b/>
          <w:bCs/>
          <w:color w:val="444444"/>
          <w:sz w:val="24"/>
          <w:szCs w:val="24"/>
          <w:lang w:eastAsia="en-IN" w:bidi="hi-IN"/>
        </w:rPr>
        <w:t>Provisions relating to carry forward and set off of accumulated loss and unabsorbed depreciation allowance in business reorganisation of co-operative banks.</w:t>
      </w:r>
    </w:p>
    <w:p w:rsidR="00480514" w:rsidRPr="00A72E44"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A72E44">
        <w:rPr>
          <w:rFonts w:ascii="Times New Roman" w:eastAsia="Times New Roman" w:hAnsi="Times New Roman" w:cs="Times New Roman"/>
          <w:b/>
          <w:bCs/>
          <w:color w:val="444444"/>
          <w:sz w:val="24"/>
          <w:szCs w:val="24"/>
          <w:lang w:eastAsia="en-IN" w:bidi="hi-IN"/>
        </w:rPr>
        <w:t>72AB. </w:t>
      </w:r>
      <w:r w:rsidRPr="00A72E44">
        <w:rPr>
          <w:rFonts w:ascii="Times New Roman" w:eastAsia="Times New Roman" w:hAnsi="Times New Roman" w:cs="Times New Roman"/>
          <w:color w:val="444444"/>
          <w:sz w:val="24"/>
          <w:szCs w:val="24"/>
          <w:lang w:eastAsia="en-IN" w:bidi="hi-IN"/>
        </w:rPr>
        <w:t>(1) The assessee, being a successor co-operative bank, shall, in a case where the amalgamation has taken place during the previous year, be allowed to set off the accumulated loss and the unabsorbed depreciation, if any, of the predecessor co-operative bank as if the amalgamation had not taken place, and all the other provisions of this Act relating to set off and carry forward of loss and allowance for depreciation shall apply accordingly.</w:t>
      </w:r>
    </w:p>
    <w:p w:rsidR="00480514" w:rsidRPr="00A72E44"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A72E44">
        <w:rPr>
          <w:rFonts w:ascii="Times New Roman" w:eastAsia="Times New Roman" w:hAnsi="Times New Roman" w:cs="Times New Roman"/>
          <w:color w:val="444444"/>
          <w:sz w:val="24"/>
          <w:szCs w:val="24"/>
          <w:lang w:eastAsia="en-IN" w:bidi="hi-IN"/>
        </w:rPr>
        <w:t>(2) The provisions of this section shall apply if—</w:t>
      </w:r>
    </w:p>
    <w:p w:rsidR="00480514" w:rsidRPr="00A72E44"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A72E44">
        <w:rPr>
          <w:rFonts w:ascii="Times New Roman" w:eastAsia="Times New Roman" w:hAnsi="Times New Roman" w:cs="Times New Roman"/>
          <w:color w:val="444444"/>
          <w:sz w:val="24"/>
          <w:szCs w:val="24"/>
          <w:lang w:eastAsia="en-IN" w:bidi="hi-IN"/>
        </w:rPr>
        <w:t>(</w:t>
      </w:r>
      <w:r w:rsidRPr="00A72E44">
        <w:rPr>
          <w:rFonts w:ascii="Times New Roman" w:eastAsia="Times New Roman" w:hAnsi="Times New Roman" w:cs="Times New Roman"/>
          <w:i/>
          <w:iCs/>
          <w:color w:val="444444"/>
          <w:sz w:val="24"/>
          <w:szCs w:val="24"/>
          <w:lang w:eastAsia="en-IN" w:bidi="hi-IN"/>
        </w:rPr>
        <w:t>a</w:t>
      </w:r>
      <w:r w:rsidRPr="00A72E44">
        <w:rPr>
          <w:rFonts w:ascii="Times New Roman" w:eastAsia="Times New Roman" w:hAnsi="Times New Roman" w:cs="Times New Roman"/>
          <w:color w:val="444444"/>
          <w:sz w:val="24"/>
          <w:szCs w:val="24"/>
          <w:lang w:eastAsia="en-IN" w:bidi="hi-IN"/>
        </w:rPr>
        <w:t>) The predecessor co-operative bank—</w:t>
      </w:r>
    </w:p>
    <w:p w:rsidR="00480514" w:rsidRPr="00A72E44" w:rsidRDefault="00480514" w:rsidP="00480514">
      <w:pPr>
        <w:shd w:val="clear" w:color="auto" w:fill="FFFFFF"/>
        <w:spacing w:after="80" w:line="240" w:lineRule="auto"/>
        <w:ind w:left="1247" w:hanging="454"/>
        <w:jc w:val="both"/>
        <w:rPr>
          <w:rFonts w:ascii="Times New Roman" w:eastAsia="Times New Roman" w:hAnsi="Times New Roman" w:cs="Times New Roman"/>
          <w:color w:val="444444"/>
          <w:sz w:val="24"/>
          <w:szCs w:val="24"/>
          <w:lang w:eastAsia="en-IN" w:bidi="hi-IN"/>
        </w:rPr>
      </w:pPr>
      <w:r w:rsidRPr="00A72E44">
        <w:rPr>
          <w:rFonts w:ascii="Times New Roman" w:eastAsia="Times New Roman" w:hAnsi="Times New Roman" w:cs="Times New Roman"/>
          <w:color w:val="444444"/>
          <w:sz w:val="24"/>
          <w:szCs w:val="24"/>
          <w:lang w:eastAsia="en-IN" w:bidi="hi-IN"/>
        </w:rPr>
        <w:t> (</w:t>
      </w:r>
      <w:r w:rsidRPr="00A72E44">
        <w:rPr>
          <w:rFonts w:ascii="Times New Roman" w:eastAsia="Times New Roman" w:hAnsi="Times New Roman" w:cs="Times New Roman"/>
          <w:i/>
          <w:iCs/>
          <w:color w:val="444444"/>
          <w:sz w:val="24"/>
          <w:szCs w:val="24"/>
          <w:lang w:eastAsia="en-IN" w:bidi="hi-IN"/>
        </w:rPr>
        <w:t>i</w:t>
      </w:r>
      <w:r w:rsidRPr="00A72E44">
        <w:rPr>
          <w:rFonts w:ascii="Times New Roman" w:eastAsia="Times New Roman" w:hAnsi="Times New Roman" w:cs="Times New Roman"/>
          <w:color w:val="444444"/>
          <w:sz w:val="24"/>
          <w:szCs w:val="24"/>
          <w:lang w:eastAsia="en-IN" w:bidi="hi-IN"/>
        </w:rPr>
        <w:t>) Has been engaged in the business of banking for three or more years; and</w:t>
      </w:r>
    </w:p>
    <w:p w:rsidR="00480514" w:rsidRPr="00A72E44" w:rsidRDefault="00480514" w:rsidP="00480514">
      <w:pPr>
        <w:shd w:val="clear" w:color="auto" w:fill="FFFFFF"/>
        <w:spacing w:after="80" w:line="240" w:lineRule="auto"/>
        <w:ind w:left="1247" w:hanging="454"/>
        <w:jc w:val="both"/>
        <w:rPr>
          <w:rFonts w:ascii="Times New Roman" w:eastAsia="Times New Roman" w:hAnsi="Times New Roman" w:cs="Times New Roman"/>
          <w:color w:val="444444"/>
          <w:sz w:val="24"/>
          <w:szCs w:val="24"/>
          <w:lang w:eastAsia="en-IN" w:bidi="hi-IN"/>
        </w:rPr>
      </w:pPr>
      <w:r w:rsidRPr="00A72E44">
        <w:rPr>
          <w:rFonts w:ascii="Times New Roman" w:eastAsia="Times New Roman" w:hAnsi="Times New Roman" w:cs="Times New Roman"/>
          <w:color w:val="444444"/>
          <w:sz w:val="24"/>
          <w:szCs w:val="24"/>
          <w:lang w:eastAsia="en-IN" w:bidi="hi-IN"/>
        </w:rPr>
        <w:t>(</w:t>
      </w:r>
      <w:r w:rsidRPr="00A72E44">
        <w:rPr>
          <w:rFonts w:ascii="Times New Roman" w:eastAsia="Times New Roman" w:hAnsi="Times New Roman" w:cs="Times New Roman"/>
          <w:i/>
          <w:iCs/>
          <w:color w:val="444444"/>
          <w:sz w:val="24"/>
          <w:szCs w:val="24"/>
          <w:lang w:eastAsia="en-IN" w:bidi="hi-IN"/>
        </w:rPr>
        <w:t>ii</w:t>
      </w:r>
      <w:r w:rsidRPr="00A72E44">
        <w:rPr>
          <w:rFonts w:ascii="Times New Roman" w:eastAsia="Times New Roman" w:hAnsi="Times New Roman" w:cs="Times New Roman"/>
          <w:color w:val="444444"/>
          <w:sz w:val="24"/>
          <w:szCs w:val="24"/>
          <w:lang w:eastAsia="en-IN" w:bidi="hi-IN"/>
        </w:rPr>
        <w:t>) Has held at least three-fourths of the book value of fixed assets as on the date of the business reorganisation, continuously for two years prior to the date of business reorganisation;</w:t>
      </w:r>
    </w:p>
    <w:p w:rsidR="00480514" w:rsidRPr="00A72E44"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A72E44">
        <w:rPr>
          <w:rFonts w:ascii="Times New Roman" w:eastAsia="Times New Roman" w:hAnsi="Times New Roman" w:cs="Times New Roman"/>
          <w:color w:val="444444"/>
          <w:sz w:val="24"/>
          <w:szCs w:val="24"/>
          <w:lang w:eastAsia="en-IN" w:bidi="hi-IN"/>
        </w:rPr>
        <w:t>(</w:t>
      </w:r>
      <w:r w:rsidRPr="00A72E44">
        <w:rPr>
          <w:rFonts w:ascii="Times New Roman" w:eastAsia="Times New Roman" w:hAnsi="Times New Roman" w:cs="Times New Roman"/>
          <w:i/>
          <w:iCs/>
          <w:color w:val="444444"/>
          <w:sz w:val="24"/>
          <w:szCs w:val="24"/>
          <w:lang w:eastAsia="en-IN" w:bidi="hi-IN"/>
        </w:rPr>
        <w:t>b</w:t>
      </w:r>
      <w:r w:rsidRPr="00A72E44">
        <w:rPr>
          <w:rFonts w:ascii="Times New Roman" w:eastAsia="Times New Roman" w:hAnsi="Times New Roman" w:cs="Times New Roman"/>
          <w:color w:val="444444"/>
          <w:sz w:val="24"/>
          <w:szCs w:val="24"/>
          <w:lang w:eastAsia="en-IN" w:bidi="hi-IN"/>
        </w:rPr>
        <w:t>) The successor co-operative bank—</w:t>
      </w:r>
    </w:p>
    <w:p w:rsidR="00480514" w:rsidRPr="00A72E44" w:rsidRDefault="00480514" w:rsidP="00480514">
      <w:pPr>
        <w:shd w:val="clear" w:color="auto" w:fill="FFFFFF"/>
        <w:spacing w:after="80" w:line="240" w:lineRule="auto"/>
        <w:ind w:left="1247" w:hanging="454"/>
        <w:jc w:val="both"/>
        <w:rPr>
          <w:rFonts w:ascii="Times New Roman" w:eastAsia="Times New Roman" w:hAnsi="Times New Roman" w:cs="Times New Roman"/>
          <w:color w:val="444444"/>
          <w:sz w:val="24"/>
          <w:szCs w:val="24"/>
          <w:lang w:eastAsia="en-IN" w:bidi="hi-IN"/>
        </w:rPr>
      </w:pPr>
      <w:r w:rsidRPr="00A72E44">
        <w:rPr>
          <w:rFonts w:ascii="Times New Roman" w:eastAsia="Times New Roman" w:hAnsi="Times New Roman" w:cs="Times New Roman"/>
          <w:color w:val="444444"/>
          <w:sz w:val="24"/>
          <w:szCs w:val="24"/>
          <w:lang w:eastAsia="en-IN" w:bidi="hi-IN"/>
        </w:rPr>
        <w:t> (</w:t>
      </w:r>
      <w:r w:rsidRPr="00A72E44">
        <w:rPr>
          <w:rFonts w:ascii="Times New Roman" w:eastAsia="Times New Roman" w:hAnsi="Times New Roman" w:cs="Times New Roman"/>
          <w:i/>
          <w:iCs/>
          <w:color w:val="444444"/>
          <w:sz w:val="24"/>
          <w:szCs w:val="24"/>
          <w:lang w:eastAsia="en-IN" w:bidi="hi-IN"/>
        </w:rPr>
        <w:t>i</w:t>
      </w:r>
      <w:r w:rsidRPr="00A72E44">
        <w:rPr>
          <w:rFonts w:ascii="Times New Roman" w:eastAsia="Times New Roman" w:hAnsi="Times New Roman" w:cs="Times New Roman"/>
          <w:color w:val="444444"/>
          <w:sz w:val="24"/>
          <w:szCs w:val="24"/>
          <w:lang w:eastAsia="en-IN" w:bidi="hi-IN"/>
        </w:rPr>
        <w:t>) Holds at least three-fourths of the book value of fixed assets of the predecessor co-operative bank acquired through business reorganisation, continuously for a minimum period of five years immediately succeeding the date of business reorganisation;</w:t>
      </w:r>
    </w:p>
    <w:p w:rsidR="00480514" w:rsidRPr="00A72E44" w:rsidRDefault="00480514" w:rsidP="00480514">
      <w:pPr>
        <w:shd w:val="clear" w:color="auto" w:fill="FFFFFF"/>
        <w:spacing w:after="80" w:line="240" w:lineRule="auto"/>
        <w:ind w:left="1247" w:hanging="454"/>
        <w:jc w:val="both"/>
        <w:rPr>
          <w:rFonts w:ascii="Times New Roman" w:eastAsia="Times New Roman" w:hAnsi="Times New Roman" w:cs="Times New Roman"/>
          <w:color w:val="444444"/>
          <w:sz w:val="24"/>
          <w:szCs w:val="24"/>
          <w:lang w:eastAsia="en-IN" w:bidi="hi-IN"/>
        </w:rPr>
      </w:pPr>
      <w:r w:rsidRPr="00A72E44">
        <w:rPr>
          <w:rFonts w:ascii="Times New Roman" w:eastAsia="Times New Roman" w:hAnsi="Times New Roman" w:cs="Times New Roman"/>
          <w:color w:val="444444"/>
          <w:sz w:val="24"/>
          <w:szCs w:val="24"/>
          <w:lang w:eastAsia="en-IN" w:bidi="hi-IN"/>
        </w:rPr>
        <w:t>(</w:t>
      </w:r>
      <w:r w:rsidRPr="00A72E44">
        <w:rPr>
          <w:rFonts w:ascii="Times New Roman" w:eastAsia="Times New Roman" w:hAnsi="Times New Roman" w:cs="Times New Roman"/>
          <w:i/>
          <w:iCs/>
          <w:color w:val="444444"/>
          <w:sz w:val="24"/>
          <w:szCs w:val="24"/>
          <w:lang w:eastAsia="en-IN" w:bidi="hi-IN"/>
        </w:rPr>
        <w:t>ii</w:t>
      </w:r>
      <w:r w:rsidRPr="00A72E44">
        <w:rPr>
          <w:rFonts w:ascii="Times New Roman" w:eastAsia="Times New Roman" w:hAnsi="Times New Roman" w:cs="Times New Roman"/>
          <w:color w:val="444444"/>
          <w:sz w:val="24"/>
          <w:szCs w:val="24"/>
          <w:lang w:eastAsia="en-IN" w:bidi="hi-IN"/>
        </w:rPr>
        <w:t>) Continues the business of the predecessor co-operative bank for a minimum period of five years from the date of business reorganisation; and</w:t>
      </w:r>
    </w:p>
    <w:p w:rsidR="00480514" w:rsidRPr="00A72E44" w:rsidRDefault="00480514" w:rsidP="00480514">
      <w:pPr>
        <w:shd w:val="clear" w:color="auto" w:fill="FFFFFF"/>
        <w:spacing w:after="80" w:line="240" w:lineRule="auto"/>
        <w:ind w:left="1247" w:hanging="454"/>
        <w:jc w:val="both"/>
        <w:rPr>
          <w:rFonts w:ascii="Times New Roman" w:eastAsia="Times New Roman" w:hAnsi="Times New Roman" w:cs="Times New Roman"/>
          <w:color w:val="444444"/>
          <w:sz w:val="24"/>
          <w:szCs w:val="24"/>
          <w:lang w:eastAsia="en-IN" w:bidi="hi-IN"/>
        </w:rPr>
      </w:pPr>
      <w:r w:rsidRPr="00A72E44">
        <w:rPr>
          <w:rFonts w:ascii="Times New Roman" w:eastAsia="Times New Roman" w:hAnsi="Times New Roman" w:cs="Times New Roman"/>
          <w:color w:val="444444"/>
          <w:sz w:val="24"/>
          <w:szCs w:val="24"/>
          <w:lang w:eastAsia="en-IN" w:bidi="hi-IN"/>
        </w:rPr>
        <w:t>(</w:t>
      </w:r>
      <w:r w:rsidRPr="00A72E44">
        <w:rPr>
          <w:rFonts w:ascii="Times New Roman" w:eastAsia="Times New Roman" w:hAnsi="Times New Roman" w:cs="Times New Roman"/>
          <w:i/>
          <w:iCs/>
          <w:color w:val="444444"/>
          <w:sz w:val="24"/>
          <w:szCs w:val="24"/>
          <w:lang w:eastAsia="en-IN" w:bidi="hi-IN"/>
        </w:rPr>
        <w:t>iii</w:t>
      </w:r>
      <w:r w:rsidRPr="00A72E44">
        <w:rPr>
          <w:rFonts w:ascii="Times New Roman" w:eastAsia="Times New Roman" w:hAnsi="Times New Roman" w:cs="Times New Roman"/>
          <w:color w:val="444444"/>
          <w:sz w:val="24"/>
          <w:szCs w:val="24"/>
          <w:lang w:eastAsia="en-IN" w:bidi="hi-IN"/>
        </w:rPr>
        <w:t>) Fulfils such other conditions as may be prescribed to ensure the revival of the business of the predecessor co-operative bank or to ensure that the business reorganisation is for genuine business purpose.</w:t>
      </w:r>
    </w:p>
    <w:p w:rsidR="00480514" w:rsidRPr="00A72E44"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A72E44">
        <w:rPr>
          <w:rFonts w:ascii="Times New Roman" w:eastAsia="Times New Roman" w:hAnsi="Times New Roman" w:cs="Times New Roman"/>
          <w:color w:val="444444"/>
          <w:sz w:val="24"/>
          <w:szCs w:val="24"/>
          <w:lang w:eastAsia="en-IN" w:bidi="hi-IN"/>
        </w:rPr>
        <w:t>(3) The amount of set-off of the accumulated loss and unabsorbed depreciation, if any, allowable to the assessee being a resulting co-operative bank shall be,—</w:t>
      </w:r>
    </w:p>
    <w:p w:rsidR="00480514" w:rsidRPr="00A72E44"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A72E44">
        <w:rPr>
          <w:rFonts w:ascii="Times New Roman" w:eastAsia="Times New Roman" w:hAnsi="Times New Roman" w:cs="Times New Roman"/>
          <w:color w:val="444444"/>
          <w:sz w:val="24"/>
          <w:szCs w:val="24"/>
          <w:lang w:eastAsia="en-IN" w:bidi="hi-IN"/>
        </w:rPr>
        <w:t> (</w:t>
      </w:r>
      <w:r w:rsidRPr="00A72E44">
        <w:rPr>
          <w:rFonts w:ascii="Times New Roman" w:eastAsia="Times New Roman" w:hAnsi="Times New Roman" w:cs="Times New Roman"/>
          <w:i/>
          <w:iCs/>
          <w:color w:val="444444"/>
          <w:sz w:val="24"/>
          <w:szCs w:val="24"/>
          <w:lang w:eastAsia="en-IN" w:bidi="hi-IN"/>
        </w:rPr>
        <w:t>i</w:t>
      </w:r>
      <w:r w:rsidRPr="00A72E44">
        <w:rPr>
          <w:rFonts w:ascii="Times New Roman" w:eastAsia="Times New Roman" w:hAnsi="Times New Roman" w:cs="Times New Roman"/>
          <w:color w:val="444444"/>
          <w:sz w:val="24"/>
          <w:szCs w:val="24"/>
          <w:lang w:eastAsia="en-IN" w:bidi="hi-IN"/>
        </w:rPr>
        <w:t>) The accumulated loss or unabsorbed depreciation of the demerged co-operative bank if the whole of the amount of such loss or unabsorbed depreciation is directly relatable to the undertakings transferred to the resulting co-operative bank; or</w:t>
      </w:r>
    </w:p>
    <w:p w:rsidR="00480514" w:rsidRPr="00A72E44"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A72E44">
        <w:rPr>
          <w:rFonts w:ascii="Times New Roman" w:eastAsia="Times New Roman" w:hAnsi="Times New Roman" w:cs="Times New Roman"/>
          <w:color w:val="444444"/>
          <w:sz w:val="24"/>
          <w:szCs w:val="24"/>
          <w:lang w:eastAsia="en-IN" w:bidi="hi-IN"/>
        </w:rPr>
        <w:t>(</w:t>
      </w:r>
      <w:r w:rsidRPr="00A72E44">
        <w:rPr>
          <w:rFonts w:ascii="Times New Roman" w:eastAsia="Times New Roman" w:hAnsi="Times New Roman" w:cs="Times New Roman"/>
          <w:i/>
          <w:iCs/>
          <w:color w:val="444444"/>
          <w:sz w:val="24"/>
          <w:szCs w:val="24"/>
          <w:lang w:eastAsia="en-IN" w:bidi="hi-IN"/>
        </w:rPr>
        <w:t>ii</w:t>
      </w:r>
      <w:r w:rsidRPr="00A72E44">
        <w:rPr>
          <w:rFonts w:ascii="Times New Roman" w:eastAsia="Times New Roman" w:hAnsi="Times New Roman" w:cs="Times New Roman"/>
          <w:color w:val="444444"/>
          <w:sz w:val="24"/>
          <w:szCs w:val="24"/>
          <w:lang w:eastAsia="en-IN" w:bidi="hi-IN"/>
        </w:rPr>
        <w:t>) the amount which bears the same proportion to the accumulated loss or unabsorbed depreciation of the demerged co-operative bank as the assets of the undertaking transferred to the resulting co-operative bank bears to the assets of the demerged co-operative bank if such accumulated loss or unabsorbed depreciation is not directly relatable to the undertakings transferred to the resulting co-operative bank.</w:t>
      </w:r>
    </w:p>
    <w:p w:rsidR="00480514" w:rsidRPr="00A72E44"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A72E44">
        <w:rPr>
          <w:rFonts w:ascii="Times New Roman" w:eastAsia="Times New Roman" w:hAnsi="Times New Roman" w:cs="Times New Roman"/>
          <w:color w:val="444444"/>
          <w:sz w:val="24"/>
          <w:szCs w:val="24"/>
          <w:lang w:eastAsia="en-IN" w:bidi="hi-IN"/>
        </w:rPr>
        <w:t xml:space="preserve">(4) The Central Government may, for the purposes of this section, by notification in the Official Gazette, specify such other conditions as it considers necessary, other than those prescribed </w:t>
      </w:r>
      <w:r w:rsidRPr="00A72E44">
        <w:rPr>
          <w:rFonts w:ascii="Times New Roman" w:eastAsia="Times New Roman" w:hAnsi="Times New Roman" w:cs="Times New Roman"/>
          <w:color w:val="444444"/>
          <w:sz w:val="24"/>
          <w:szCs w:val="24"/>
          <w:lang w:eastAsia="en-IN" w:bidi="hi-IN"/>
        </w:rPr>
        <w:lastRenderedPageBreak/>
        <w:t>under sub-clause (</w:t>
      </w:r>
      <w:r w:rsidRPr="00A72E44">
        <w:rPr>
          <w:rFonts w:ascii="Times New Roman" w:eastAsia="Times New Roman" w:hAnsi="Times New Roman" w:cs="Times New Roman"/>
          <w:i/>
          <w:iCs/>
          <w:color w:val="444444"/>
          <w:sz w:val="24"/>
          <w:szCs w:val="24"/>
          <w:lang w:eastAsia="en-IN" w:bidi="hi-IN"/>
        </w:rPr>
        <w:t>iii</w:t>
      </w:r>
      <w:r w:rsidRPr="00A72E44">
        <w:rPr>
          <w:rFonts w:ascii="Times New Roman" w:eastAsia="Times New Roman" w:hAnsi="Times New Roman" w:cs="Times New Roman"/>
          <w:color w:val="444444"/>
          <w:sz w:val="24"/>
          <w:szCs w:val="24"/>
          <w:lang w:eastAsia="en-IN" w:bidi="hi-IN"/>
        </w:rPr>
        <w:t>) of clause (</w:t>
      </w:r>
      <w:r w:rsidRPr="00A72E44">
        <w:rPr>
          <w:rFonts w:ascii="Times New Roman" w:eastAsia="Times New Roman" w:hAnsi="Times New Roman" w:cs="Times New Roman"/>
          <w:i/>
          <w:iCs/>
          <w:color w:val="444444"/>
          <w:sz w:val="24"/>
          <w:szCs w:val="24"/>
          <w:lang w:eastAsia="en-IN" w:bidi="hi-IN"/>
        </w:rPr>
        <w:t>b</w:t>
      </w:r>
      <w:r w:rsidRPr="00A72E44">
        <w:rPr>
          <w:rFonts w:ascii="Times New Roman" w:eastAsia="Times New Roman" w:hAnsi="Times New Roman" w:cs="Times New Roman"/>
          <w:color w:val="444444"/>
          <w:sz w:val="24"/>
          <w:szCs w:val="24"/>
          <w:lang w:eastAsia="en-IN" w:bidi="hi-IN"/>
        </w:rPr>
        <w:t>) of sub-section (2), to ensure that the business reorganisation is for genuine business purposes.</w:t>
      </w:r>
    </w:p>
    <w:p w:rsidR="00480514" w:rsidRPr="00A72E44"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A72E44">
        <w:rPr>
          <w:rFonts w:ascii="Times New Roman" w:eastAsia="Times New Roman" w:hAnsi="Times New Roman" w:cs="Times New Roman"/>
          <w:color w:val="444444"/>
          <w:sz w:val="24"/>
          <w:szCs w:val="24"/>
          <w:lang w:eastAsia="en-IN" w:bidi="hi-IN"/>
        </w:rPr>
        <w:t>(5) The period commencing from the beginning of the previous year and ending on the date immediately preceding the date of business reorganisation, and the period commencing from the date of such business reorganisation and ending with the previous year shall be deemed to be two different previous years for the purposes of set off and carry forward of loss and allowance for depreciation.</w:t>
      </w:r>
    </w:p>
    <w:p w:rsidR="00480514" w:rsidRPr="00A72E44"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A72E44">
        <w:rPr>
          <w:rFonts w:ascii="Times New Roman" w:eastAsia="Times New Roman" w:hAnsi="Times New Roman" w:cs="Times New Roman"/>
          <w:color w:val="444444"/>
          <w:sz w:val="24"/>
          <w:szCs w:val="24"/>
          <w:lang w:eastAsia="en-IN" w:bidi="hi-IN"/>
        </w:rPr>
        <w:t>(6) In a case where the conditions specified in sub-section (2) or notified under sub-section (4) are not complied with, the set off of accumulated loss or unabsorbed depreciation allowed in any previous year to the successor co-operative bank shall be deemed to be the income of the successor co-operative bank chargeable to tax for the year in which the conditions are not complied with.</w:t>
      </w:r>
    </w:p>
    <w:p w:rsidR="00480514" w:rsidRPr="00A72E44"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A72E44">
        <w:rPr>
          <w:rFonts w:ascii="Times New Roman" w:eastAsia="Times New Roman" w:hAnsi="Times New Roman" w:cs="Times New Roman"/>
          <w:color w:val="444444"/>
          <w:sz w:val="24"/>
          <w:szCs w:val="24"/>
          <w:lang w:eastAsia="en-IN" w:bidi="hi-IN"/>
        </w:rPr>
        <w:t>(7) For the purposes of this section,—</w:t>
      </w:r>
    </w:p>
    <w:p w:rsidR="00480514" w:rsidRPr="00A72E44"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A72E44">
        <w:rPr>
          <w:rFonts w:ascii="Times New Roman" w:eastAsia="Times New Roman" w:hAnsi="Times New Roman" w:cs="Times New Roman"/>
          <w:color w:val="444444"/>
          <w:sz w:val="24"/>
          <w:szCs w:val="24"/>
          <w:lang w:eastAsia="en-IN" w:bidi="hi-IN"/>
        </w:rPr>
        <w:t>(</w:t>
      </w:r>
      <w:r w:rsidRPr="00A72E44">
        <w:rPr>
          <w:rFonts w:ascii="Times New Roman" w:eastAsia="Times New Roman" w:hAnsi="Times New Roman" w:cs="Times New Roman"/>
          <w:i/>
          <w:iCs/>
          <w:color w:val="444444"/>
          <w:sz w:val="24"/>
          <w:szCs w:val="24"/>
          <w:lang w:eastAsia="en-IN" w:bidi="hi-IN"/>
        </w:rPr>
        <w:t>a</w:t>
      </w:r>
      <w:r w:rsidRPr="00A72E44">
        <w:rPr>
          <w:rFonts w:ascii="Times New Roman" w:eastAsia="Times New Roman" w:hAnsi="Times New Roman" w:cs="Times New Roman"/>
          <w:color w:val="444444"/>
          <w:sz w:val="24"/>
          <w:szCs w:val="24"/>
          <w:lang w:eastAsia="en-IN" w:bidi="hi-IN"/>
        </w:rPr>
        <w:t>) "accumulated loss" means so much of loss of the amalgamating co-operative bank or the demerged co-operative bank, as the case may be, under the head "Profits and gains of business or profession" (not being a loss sustained in a speculation business) which such amalgamating co-operative bank or the demerged co-operative bank, would have been entitled to carry forward and set-off under the provisions of </w:t>
      </w:r>
      <w:hyperlink r:id="rId124" w:history="1">
        <w:r w:rsidRPr="00A72E44">
          <w:rPr>
            <w:rFonts w:ascii="Times New Roman" w:eastAsia="Times New Roman" w:hAnsi="Times New Roman" w:cs="Times New Roman"/>
            <w:color w:val="663399"/>
            <w:sz w:val="24"/>
            <w:szCs w:val="24"/>
            <w:lang w:eastAsia="en-IN" w:bidi="hi-IN"/>
          </w:rPr>
          <w:t>section 72</w:t>
        </w:r>
      </w:hyperlink>
      <w:r w:rsidRPr="00A72E44">
        <w:rPr>
          <w:rFonts w:ascii="Times New Roman" w:eastAsia="Times New Roman" w:hAnsi="Times New Roman" w:cs="Times New Roman"/>
          <w:color w:val="444444"/>
          <w:sz w:val="24"/>
          <w:szCs w:val="24"/>
          <w:lang w:eastAsia="en-IN" w:bidi="hi-IN"/>
        </w:rPr>
        <w:t> as if the business reorganisation had not taken place;</w:t>
      </w:r>
    </w:p>
    <w:p w:rsidR="00480514" w:rsidRPr="00A72E44"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A72E44">
        <w:rPr>
          <w:rFonts w:ascii="Times New Roman" w:eastAsia="Times New Roman" w:hAnsi="Times New Roman" w:cs="Times New Roman"/>
          <w:color w:val="444444"/>
          <w:sz w:val="24"/>
          <w:szCs w:val="24"/>
          <w:lang w:eastAsia="en-IN" w:bidi="hi-IN"/>
        </w:rPr>
        <w:t>(</w:t>
      </w:r>
      <w:r w:rsidRPr="00A72E44">
        <w:rPr>
          <w:rFonts w:ascii="Times New Roman" w:eastAsia="Times New Roman" w:hAnsi="Times New Roman" w:cs="Times New Roman"/>
          <w:i/>
          <w:iCs/>
          <w:color w:val="444444"/>
          <w:sz w:val="24"/>
          <w:szCs w:val="24"/>
          <w:lang w:eastAsia="en-IN" w:bidi="hi-IN"/>
        </w:rPr>
        <w:t>b</w:t>
      </w:r>
      <w:r w:rsidRPr="00A72E44">
        <w:rPr>
          <w:rFonts w:ascii="Times New Roman" w:eastAsia="Times New Roman" w:hAnsi="Times New Roman" w:cs="Times New Roman"/>
          <w:color w:val="444444"/>
          <w:sz w:val="24"/>
          <w:szCs w:val="24"/>
          <w:lang w:eastAsia="en-IN" w:bidi="hi-IN"/>
        </w:rPr>
        <w:t>) "Unabsorbed depreciation" means so much of the allowance for depreciation of the amalgamating co-operative bank or the demerged co-operative bank, as the case may be, which remains to be allowed and which would have been allowed to such bank as if the business reorganisation had not taken place;</w:t>
      </w:r>
    </w:p>
    <w:p w:rsidR="00480514" w:rsidRPr="00A72E44"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A72E44">
        <w:rPr>
          <w:rFonts w:ascii="Times New Roman" w:eastAsia="Times New Roman" w:hAnsi="Times New Roman" w:cs="Times New Roman"/>
          <w:color w:val="444444"/>
          <w:sz w:val="24"/>
          <w:szCs w:val="24"/>
          <w:lang w:eastAsia="en-IN" w:bidi="hi-IN"/>
        </w:rPr>
        <w:t>(</w:t>
      </w:r>
      <w:r w:rsidRPr="00A72E44">
        <w:rPr>
          <w:rFonts w:ascii="Times New Roman" w:eastAsia="Times New Roman" w:hAnsi="Times New Roman" w:cs="Times New Roman"/>
          <w:i/>
          <w:iCs/>
          <w:color w:val="444444"/>
          <w:sz w:val="24"/>
          <w:szCs w:val="24"/>
          <w:lang w:eastAsia="en-IN" w:bidi="hi-IN"/>
        </w:rPr>
        <w:t>c</w:t>
      </w:r>
      <w:r w:rsidRPr="00A72E44">
        <w:rPr>
          <w:rFonts w:ascii="Times New Roman" w:eastAsia="Times New Roman" w:hAnsi="Times New Roman" w:cs="Times New Roman"/>
          <w:color w:val="444444"/>
          <w:sz w:val="24"/>
          <w:szCs w:val="24"/>
          <w:lang w:eastAsia="en-IN" w:bidi="hi-IN"/>
        </w:rPr>
        <w:t>) the expressions "amalgamated co-operative bank", "amalgamating co-operative bank", "amalgamation", "business reorganisation", "co-operative bank", "demerged co-operative bank", "demerger", "predecessor co-operative bank", "successor co-operative bank" and "resulting co-operative bank" shall have the meanings respectively assigned to them in </w:t>
      </w:r>
      <w:hyperlink r:id="rId125" w:history="1">
        <w:r w:rsidRPr="00A72E44">
          <w:rPr>
            <w:rFonts w:ascii="Times New Roman" w:eastAsia="Times New Roman" w:hAnsi="Times New Roman" w:cs="Times New Roman"/>
            <w:color w:val="663399"/>
            <w:sz w:val="24"/>
            <w:szCs w:val="24"/>
            <w:lang w:eastAsia="en-IN" w:bidi="hi-IN"/>
          </w:rPr>
          <w:t>section 44DB</w:t>
        </w:r>
      </w:hyperlink>
      <w:r w:rsidRPr="00A72E44">
        <w:rPr>
          <w:rFonts w:ascii="Times New Roman" w:eastAsia="Times New Roman" w:hAnsi="Times New Roman" w:cs="Times New Roman"/>
          <w:color w:val="444444"/>
          <w:sz w:val="24"/>
          <w:szCs w:val="24"/>
          <w:lang w:eastAsia="en-IN" w:bidi="hi-IN"/>
        </w:rPr>
        <w:t>.</w:t>
      </w:r>
    </w:p>
    <w:p w:rsidR="00480514" w:rsidRDefault="00480514" w:rsidP="00480514">
      <w:pPr>
        <w:pBdr>
          <w:bottom w:val="single" w:sz="6" w:space="1" w:color="auto"/>
        </w:pBdr>
      </w:pPr>
    </w:p>
    <w:p w:rsidR="00480514" w:rsidRDefault="00480514" w:rsidP="00480514"/>
    <w:p w:rsidR="00480514" w:rsidRPr="00E63229" w:rsidRDefault="00480514" w:rsidP="00480514">
      <w:pPr>
        <w:shd w:val="clear" w:color="auto" w:fill="F7F7F7"/>
        <w:spacing w:before="100" w:beforeAutospacing="1" w:after="100" w:afterAutospacing="1" w:line="240" w:lineRule="auto"/>
        <w:jc w:val="center"/>
        <w:outlineLvl w:val="2"/>
        <w:rPr>
          <w:rFonts w:ascii="Segoe UI" w:eastAsia="Times New Roman" w:hAnsi="Segoe UI" w:cs="Segoe UI"/>
          <w:color w:val="7C7C7C"/>
          <w:sz w:val="20"/>
          <w:szCs w:val="20"/>
          <w:lang w:eastAsia="en-IN" w:bidi="hi-IN"/>
        </w:rPr>
      </w:pPr>
      <w:r w:rsidRPr="00E63229">
        <w:rPr>
          <w:rFonts w:ascii="Segoe UI Semilight" w:eastAsia="Times New Roman" w:hAnsi="Segoe UI Semilight" w:cs="Segoe UI Semilight"/>
          <w:color w:val="7C7C7C"/>
          <w:sz w:val="21"/>
          <w:szCs w:val="21"/>
          <w:lang w:eastAsia="en-IN" w:bidi="hi-IN"/>
        </w:rPr>
        <w:br/>
        <w:t>Section - 73, Income-tax Act, 1961-2016</w:t>
      </w:r>
      <w:r w:rsidRPr="00E63229">
        <w:rPr>
          <w:rFonts w:ascii="Segoe UI" w:eastAsia="Times New Roman" w:hAnsi="Segoe UI" w:cs="Segoe UI"/>
          <w:color w:val="7C7C7C"/>
          <w:sz w:val="20"/>
          <w:szCs w:val="20"/>
          <w:lang w:eastAsia="en-IN" w:bidi="hi-IN"/>
        </w:rPr>
        <w:t xml:space="preserve"> </w:t>
      </w:r>
    </w:p>
    <w:p w:rsidR="00480514" w:rsidRPr="00E63229"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E63229">
        <w:rPr>
          <w:rFonts w:ascii="Times New Roman" w:eastAsia="Times New Roman" w:hAnsi="Times New Roman" w:cs="Times New Roman"/>
          <w:b/>
          <w:bCs/>
          <w:color w:val="444444"/>
          <w:sz w:val="24"/>
          <w:szCs w:val="24"/>
          <w:lang w:eastAsia="en-IN" w:bidi="hi-IN"/>
        </w:rPr>
        <w:t>Losses in speculation business.</w:t>
      </w:r>
    </w:p>
    <w:p w:rsidR="00480514" w:rsidRPr="00E63229"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E63229">
        <w:rPr>
          <w:rFonts w:ascii="Times New Roman" w:eastAsia="Times New Roman" w:hAnsi="Times New Roman" w:cs="Times New Roman"/>
          <w:b/>
          <w:bCs/>
          <w:color w:val="444444"/>
          <w:sz w:val="24"/>
          <w:szCs w:val="24"/>
          <w:lang w:eastAsia="en-IN" w:bidi="hi-IN"/>
        </w:rPr>
        <w:t>73. </w:t>
      </w:r>
      <w:r w:rsidRPr="00E63229">
        <w:rPr>
          <w:rFonts w:ascii="Times New Roman" w:eastAsia="Times New Roman" w:hAnsi="Times New Roman" w:cs="Times New Roman"/>
          <w:color w:val="444444"/>
          <w:sz w:val="24"/>
          <w:szCs w:val="24"/>
          <w:lang w:eastAsia="en-IN" w:bidi="hi-IN"/>
        </w:rPr>
        <w:t>(1) any loss, computed in respect of a speculation business carried on by the assessee, shall not be set off except against profits and gains, if any, of another speculation business.</w:t>
      </w:r>
    </w:p>
    <w:p w:rsidR="00480514" w:rsidRPr="00E63229"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E63229">
        <w:rPr>
          <w:rFonts w:ascii="Times New Roman" w:eastAsia="Times New Roman" w:hAnsi="Times New Roman" w:cs="Times New Roman"/>
          <w:color w:val="444444"/>
          <w:sz w:val="24"/>
          <w:szCs w:val="24"/>
          <w:lang w:eastAsia="en-IN" w:bidi="hi-IN"/>
        </w:rPr>
        <w:t xml:space="preserve">(2) Where for any assessment year any loss computed in respect of a speculation business has not been wholly set off under sub-section (1), so much of the loss as is not so set off or the </w:t>
      </w:r>
      <w:r w:rsidRPr="00E63229">
        <w:rPr>
          <w:rFonts w:ascii="Times New Roman" w:eastAsia="Times New Roman" w:hAnsi="Times New Roman" w:cs="Times New Roman"/>
          <w:color w:val="444444"/>
          <w:sz w:val="24"/>
          <w:szCs w:val="24"/>
          <w:lang w:eastAsia="en-IN" w:bidi="hi-IN"/>
        </w:rPr>
        <w:lastRenderedPageBreak/>
        <w:t>whole loss where the assessee had no income from any other speculation business, shall, subject to the other provisions of this Chapter, be carried forward to the following assessment year, and—</w:t>
      </w:r>
    </w:p>
    <w:p w:rsidR="00480514" w:rsidRPr="00E63229"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E63229">
        <w:rPr>
          <w:rFonts w:ascii="Times New Roman" w:eastAsia="Times New Roman" w:hAnsi="Times New Roman" w:cs="Times New Roman"/>
          <w:color w:val="444444"/>
          <w:sz w:val="24"/>
          <w:szCs w:val="24"/>
          <w:lang w:eastAsia="en-IN" w:bidi="hi-IN"/>
        </w:rPr>
        <w:t> (</w:t>
      </w:r>
      <w:r w:rsidRPr="00E63229">
        <w:rPr>
          <w:rFonts w:ascii="Times New Roman" w:eastAsia="Times New Roman" w:hAnsi="Times New Roman" w:cs="Times New Roman"/>
          <w:i/>
          <w:iCs/>
          <w:color w:val="444444"/>
          <w:sz w:val="24"/>
          <w:szCs w:val="24"/>
          <w:lang w:eastAsia="en-IN" w:bidi="hi-IN"/>
        </w:rPr>
        <w:t>i</w:t>
      </w:r>
      <w:r w:rsidRPr="00E63229">
        <w:rPr>
          <w:rFonts w:ascii="Times New Roman" w:eastAsia="Times New Roman" w:hAnsi="Times New Roman" w:cs="Times New Roman"/>
          <w:color w:val="444444"/>
          <w:sz w:val="24"/>
          <w:szCs w:val="24"/>
          <w:lang w:eastAsia="en-IN" w:bidi="hi-IN"/>
        </w:rPr>
        <w:t>) It shall be set off against the profits and gains, if any, of any speculation business carried on by him assessable for that assessment year; and</w:t>
      </w:r>
    </w:p>
    <w:p w:rsidR="00480514" w:rsidRPr="00E63229"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E63229">
        <w:rPr>
          <w:rFonts w:ascii="Times New Roman" w:eastAsia="Times New Roman" w:hAnsi="Times New Roman" w:cs="Times New Roman"/>
          <w:color w:val="444444"/>
          <w:sz w:val="24"/>
          <w:szCs w:val="24"/>
          <w:lang w:eastAsia="en-IN" w:bidi="hi-IN"/>
        </w:rPr>
        <w:t>(</w:t>
      </w:r>
      <w:r w:rsidRPr="00E63229">
        <w:rPr>
          <w:rFonts w:ascii="Times New Roman" w:eastAsia="Times New Roman" w:hAnsi="Times New Roman" w:cs="Times New Roman"/>
          <w:i/>
          <w:iCs/>
          <w:color w:val="444444"/>
          <w:sz w:val="24"/>
          <w:szCs w:val="24"/>
          <w:lang w:eastAsia="en-IN" w:bidi="hi-IN"/>
        </w:rPr>
        <w:t>ii</w:t>
      </w:r>
      <w:r w:rsidRPr="00E63229">
        <w:rPr>
          <w:rFonts w:ascii="Times New Roman" w:eastAsia="Times New Roman" w:hAnsi="Times New Roman" w:cs="Times New Roman"/>
          <w:color w:val="444444"/>
          <w:sz w:val="24"/>
          <w:szCs w:val="24"/>
          <w:lang w:eastAsia="en-IN" w:bidi="hi-IN"/>
        </w:rPr>
        <w:t>) If the loss cannot be wholly so set off, the amount of loss not so set off shall be carried forward to the following assessment year and soon.</w:t>
      </w:r>
    </w:p>
    <w:p w:rsidR="00480514" w:rsidRPr="00E63229"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E63229">
        <w:rPr>
          <w:rFonts w:ascii="Times New Roman" w:eastAsia="Times New Roman" w:hAnsi="Times New Roman" w:cs="Times New Roman"/>
          <w:color w:val="444444"/>
          <w:sz w:val="24"/>
          <w:szCs w:val="24"/>
          <w:lang w:eastAsia="en-IN" w:bidi="hi-IN"/>
        </w:rPr>
        <w:t>(3) In respect of allowance on account of depreciation or capital expenditure on scientific research, the provisions of sub-section (2) of </w:t>
      </w:r>
      <w:hyperlink r:id="rId126" w:history="1">
        <w:r w:rsidRPr="00E63229">
          <w:rPr>
            <w:rFonts w:ascii="Times New Roman" w:eastAsia="Times New Roman" w:hAnsi="Times New Roman" w:cs="Times New Roman"/>
            <w:color w:val="663399"/>
            <w:sz w:val="24"/>
            <w:szCs w:val="24"/>
            <w:lang w:eastAsia="en-IN" w:bidi="hi-IN"/>
          </w:rPr>
          <w:t>section 72</w:t>
        </w:r>
      </w:hyperlink>
      <w:r w:rsidRPr="00E63229">
        <w:rPr>
          <w:rFonts w:ascii="Times New Roman" w:eastAsia="Times New Roman" w:hAnsi="Times New Roman" w:cs="Times New Roman"/>
          <w:color w:val="444444"/>
          <w:sz w:val="24"/>
          <w:szCs w:val="24"/>
          <w:lang w:eastAsia="en-IN" w:bidi="hi-IN"/>
        </w:rPr>
        <w:t> shall apply in relation to speculation business as they apply in relation to any other business.</w:t>
      </w:r>
    </w:p>
    <w:p w:rsidR="00480514" w:rsidRPr="00E63229"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E63229">
        <w:rPr>
          <w:rFonts w:ascii="Times New Roman" w:eastAsia="Times New Roman" w:hAnsi="Times New Roman" w:cs="Times New Roman"/>
          <w:color w:val="444444"/>
          <w:sz w:val="24"/>
          <w:szCs w:val="24"/>
          <w:lang w:eastAsia="en-IN" w:bidi="hi-IN"/>
        </w:rPr>
        <w:t>(4) No loss shall be carried forward under this section for more than four assessment years immediately succeeding the assessment year for which the loss was first computed.</w:t>
      </w:r>
    </w:p>
    <w:p w:rsidR="00480514"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E63229">
        <w:rPr>
          <w:rFonts w:ascii="Times New Roman" w:eastAsia="Times New Roman" w:hAnsi="Times New Roman" w:cs="Times New Roman"/>
          <w:i/>
          <w:iCs/>
          <w:color w:val="444444"/>
          <w:sz w:val="24"/>
          <w:szCs w:val="24"/>
          <w:lang w:eastAsia="en-IN" w:bidi="hi-IN"/>
        </w:rPr>
        <w:t>Explanation.</w:t>
      </w:r>
      <w:r w:rsidRPr="00E63229">
        <w:rPr>
          <w:rFonts w:ascii="Times New Roman" w:eastAsia="Times New Roman" w:hAnsi="Times New Roman" w:cs="Times New Roman"/>
          <w:color w:val="444444"/>
          <w:sz w:val="24"/>
          <w:szCs w:val="24"/>
          <w:lang w:eastAsia="en-IN" w:bidi="hi-IN"/>
        </w:rPr>
        <w:t>—Where any part of the business of a company (other than a company whose gross total income consists mainly of income which is chargeable under the heads "Interest on securities", "Income from house property", "Capital gains" and "Income from other sources", or a company </w:t>
      </w:r>
      <w:hyperlink r:id="rId127" w:history="1">
        <w:r w:rsidRPr="00E63229">
          <w:rPr>
            <w:rFonts w:ascii="Times New Roman" w:eastAsia="Times New Roman" w:hAnsi="Times New Roman" w:cs="Times New Roman"/>
            <w:color w:val="663399"/>
            <w:sz w:val="24"/>
            <w:szCs w:val="24"/>
            <w:vertAlign w:val="superscript"/>
            <w:lang w:eastAsia="en-IN" w:bidi="hi-IN"/>
          </w:rPr>
          <w:t>51</w:t>
        </w:r>
      </w:hyperlink>
      <w:r w:rsidRPr="00E63229">
        <w:rPr>
          <w:rFonts w:ascii="Times New Roman" w:eastAsia="Times New Roman" w:hAnsi="Times New Roman" w:cs="Times New Roman"/>
          <w:color w:val="444444"/>
          <w:sz w:val="24"/>
          <w:szCs w:val="24"/>
          <w:lang w:eastAsia="en-IN" w:bidi="hi-IN"/>
        </w:rPr>
        <w:t>[the principal business of which is the business of trading in shares or banking] or the granting of loans and advances) consists in the purchase and sale of shares of other companies, such company shall, for the purposes of this section, be deemed to be carrying on a speculation business to the extent to which the business consists of the purchase and sale of such shares.</w:t>
      </w:r>
    </w:p>
    <w:p w:rsidR="00480514" w:rsidRDefault="00480514" w:rsidP="00480514">
      <w:pPr>
        <w:pBdr>
          <w:bottom w:val="single" w:sz="6" w:space="1" w:color="auto"/>
        </w:pBdr>
        <w:shd w:val="clear" w:color="auto" w:fill="FFFFFF"/>
        <w:spacing w:after="80" w:line="240" w:lineRule="auto"/>
        <w:jc w:val="both"/>
        <w:rPr>
          <w:rFonts w:ascii="Times New Roman" w:eastAsia="Times New Roman" w:hAnsi="Times New Roman" w:cs="Times New Roman"/>
          <w:color w:val="444444"/>
          <w:sz w:val="24"/>
          <w:szCs w:val="24"/>
          <w:lang w:eastAsia="en-IN" w:bidi="hi-IN"/>
        </w:rPr>
      </w:pPr>
    </w:p>
    <w:p w:rsidR="00480514"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p>
    <w:p w:rsidR="00480514" w:rsidRPr="00B44D56" w:rsidRDefault="00480514" w:rsidP="00480514">
      <w:pPr>
        <w:shd w:val="clear" w:color="auto" w:fill="F7F7F7"/>
        <w:spacing w:before="100" w:beforeAutospacing="1" w:after="100" w:afterAutospacing="1" w:line="240" w:lineRule="auto"/>
        <w:jc w:val="center"/>
        <w:outlineLvl w:val="2"/>
        <w:rPr>
          <w:rFonts w:ascii="Segoe UI" w:eastAsia="Times New Roman" w:hAnsi="Segoe UI" w:cs="Segoe UI"/>
          <w:color w:val="7C7C7C"/>
          <w:sz w:val="20"/>
          <w:szCs w:val="20"/>
          <w:lang w:eastAsia="en-IN" w:bidi="hi-IN"/>
        </w:rPr>
      </w:pPr>
      <w:r w:rsidRPr="00B44D56">
        <w:rPr>
          <w:rFonts w:ascii="Segoe UI Semilight" w:eastAsia="Times New Roman" w:hAnsi="Segoe UI Semilight" w:cs="Segoe UI Semilight"/>
          <w:color w:val="7C7C7C"/>
          <w:sz w:val="21"/>
          <w:szCs w:val="21"/>
          <w:lang w:eastAsia="en-IN" w:bidi="hi-IN"/>
        </w:rPr>
        <w:t>Section - 73A, Income-tax Act, 1961-2016</w:t>
      </w:r>
    </w:p>
    <w:p w:rsidR="00480514" w:rsidRPr="00B44D56"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B44D56">
        <w:rPr>
          <w:rFonts w:ascii="Times New Roman" w:eastAsia="Times New Roman" w:hAnsi="Times New Roman" w:cs="Times New Roman"/>
          <w:b/>
          <w:bCs/>
          <w:color w:val="444444"/>
          <w:sz w:val="24"/>
          <w:szCs w:val="24"/>
          <w:lang w:eastAsia="en-IN" w:bidi="hi-IN"/>
        </w:rPr>
        <w:t>Carry forward and set off of losses by specified business.</w:t>
      </w:r>
    </w:p>
    <w:p w:rsidR="00480514" w:rsidRPr="00B44D56"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B44D56">
        <w:rPr>
          <w:rFonts w:ascii="Times New Roman" w:eastAsia="Times New Roman" w:hAnsi="Times New Roman" w:cs="Times New Roman"/>
          <w:b/>
          <w:bCs/>
          <w:color w:val="444444"/>
          <w:sz w:val="24"/>
          <w:szCs w:val="24"/>
          <w:lang w:eastAsia="en-IN" w:bidi="hi-IN"/>
        </w:rPr>
        <w:t>73A. </w:t>
      </w:r>
      <w:r w:rsidRPr="00B44D56">
        <w:rPr>
          <w:rFonts w:ascii="Times New Roman" w:eastAsia="Times New Roman" w:hAnsi="Times New Roman" w:cs="Times New Roman"/>
          <w:color w:val="444444"/>
          <w:sz w:val="24"/>
          <w:szCs w:val="24"/>
          <w:lang w:eastAsia="en-IN" w:bidi="hi-IN"/>
        </w:rPr>
        <w:t>(1) Any loss, computed in respect of any specified business referred to in </w:t>
      </w:r>
      <w:hyperlink r:id="rId128" w:history="1">
        <w:r w:rsidRPr="00B44D56">
          <w:rPr>
            <w:rFonts w:ascii="Times New Roman" w:eastAsia="Times New Roman" w:hAnsi="Times New Roman" w:cs="Times New Roman"/>
            <w:color w:val="663399"/>
            <w:sz w:val="24"/>
            <w:szCs w:val="24"/>
            <w:lang w:eastAsia="en-IN" w:bidi="hi-IN"/>
          </w:rPr>
          <w:t>section 35AD</w:t>
        </w:r>
      </w:hyperlink>
      <w:r w:rsidRPr="00B44D56">
        <w:rPr>
          <w:rFonts w:ascii="Times New Roman" w:eastAsia="Times New Roman" w:hAnsi="Times New Roman" w:cs="Times New Roman"/>
          <w:color w:val="444444"/>
          <w:sz w:val="24"/>
          <w:szCs w:val="24"/>
          <w:lang w:eastAsia="en-IN" w:bidi="hi-IN"/>
        </w:rPr>
        <w:t> shall not be set off except against profits and gains, if any, of any other specified business.</w:t>
      </w:r>
    </w:p>
    <w:p w:rsidR="00480514" w:rsidRPr="00B44D56"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B44D56">
        <w:rPr>
          <w:rFonts w:ascii="Times New Roman" w:eastAsia="Times New Roman" w:hAnsi="Times New Roman" w:cs="Times New Roman"/>
          <w:color w:val="444444"/>
          <w:sz w:val="24"/>
          <w:szCs w:val="24"/>
          <w:lang w:eastAsia="en-IN" w:bidi="hi-IN"/>
        </w:rPr>
        <w:t>(2) Where for any assessment year any loss computed in respect of the specified business referred to in sub-section (1) has not been wholly set off under sub-section (1), so much of the loss as is not so set off or the whole loss where the assessee has no income from any other specified business, shall, subject to the other provisions of this Chapter, be carried forward to the following assessment year, and—</w:t>
      </w:r>
    </w:p>
    <w:p w:rsidR="00480514" w:rsidRPr="00B44D56"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r w:rsidRPr="00B44D56">
        <w:rPr>
          <w:rFonts w:ascii="Times New Roman" w:eastAsia="Times New Roman" w:hAnsi="Times New Roman" w:cs="Times New Roman"/>
          <w:color w:val="444444"/>
          <w:sz w:val="24"/>
          <w:szCs w:val="24"/>
          <w:lang w:eastAsia="en-IN" w:bidi="hi-IN"/>
        </w:rPr>
        <w:t> (</w:t>
      </w:r>
      <w:r w:rsidRPr="00B44D56">
        <w:rPr>
          <w:rFonts w:ascii="Times New Roman" w:eastAsia="Times New Roman" w:hAnsi="Times New Roman" w:cs="Times New Roman"/>
          <w:i/>
          <w:iCs/>
          <w:color w:val="444444"/>
          <w:sz w:val="24"/>
          <w:szCs w:val="24"/>
          <w:lang w:eastAsia="en-IN" w:bidi="hi-IN"/>
        </w:rPr>
        <w:t>i</w:t>
      </w:r>
      <w:r w:rsidRPr="00B44D56">
        <w:rPr>
          <w:rFonts w:ascii="Times New Roman" w:eastAsia="Times New Roman" w:hAnsi="Times New Roman" w:cs="Times New Roman"/>
          <w:color w:val="444444"/>
          <w:sz w:val="24"/>
          <w:szCs w:val="24"/>
          <w:lang w:eastAsia="en-IN" w:bidi="hi-IN"/>
        </w:rPr>
        <w:t>) it shall be set off against the profits and gains, if any, of any specified business carried on by him assessable for that assessment year; and</w:t>
      </w:r>
    </w:p>
    <w:p w:rsidR="00480514" w:rsidRDefault="00480514" w:rsidP="00480514">
      <w:pPr>
        <w:pBdr>
          <w:bottom w:val="single" w:sz="6" w:space="1" w:color="auto"/>
        </w:pBdr>
        <w:shd w:val="clear" w:color="auto" w:fill="FFFFFF"/>
        <w:spacing w:after="80" w:line="240" w:lineRule="auto"/>
        <w:ind w:left="567" w:hanging="397"/>
        <w:jc w:val="both"/>
        <w:rPr>
          <w:rFonts w:ascii="Times New Roman" w:eastAsia="Times New Roman" w:hAnsi="Times New Roman" w:cs="Times New Roman"/>
          <w:i/>
          <w:iCs/>
          <w:color w:val="444444"/>
          <w:sz w:val="24"/>
          <w:szCs w:val="24"/>
          <w:lang w:eastAsia="en-IN" w:bidi="hi-IN"/>
        </w:rPr>
      </w:pPr>
      <w:r w:rsidRPr="00B44D56">
        <w:rPr>
          <w:rFonts w:ascii="Times New Roman" w:eastAsia="Times New Roman" w:hAnsi="Times New Roman" w:cs="Times New Roman"/>
          <w:color w:val="444444"/>
          <w:sz w:val="24"/>
          <w:szCs w:val="24"/>
          <w:lang w:eastAsia="en-IN" w:bidi="hi-IN"/>
        </w:rPr>
        <w:t>(</w:t>
      </w:r>
      <w:r w:rsidRPr="00B44D56">
        <w:rPr>
          <w:rFonts w:ascii="Times New Roman" w:eastAsia="Times New Roman" w:hAnsi="Times New Roman" w:cs="Times New Roman"/>
          <w:i/>
          <w:iCs/>
          <w:color w:val="444444"/>
          <w:sz w:val="24"/>
          <w:szCs w:val="24"/>
          <w:lang w:eastAsia="en-IN" w:bidi="hi-IN"/>
        </w:rPr>
        <w:t>ii</w:t>
      </w:r>
      <w:r w:rsidRPr="00B44D56">
        <w:rPr>
          <w:rFonts w:ascii="Times New Roman" w:eastAsia="Times New Roman" w:hAnsi="Times New Roman" w:cs="Times New Roman"/>
          <w:color w:val="444444"/>
          <w:sz w:val="24"/>
          <w:szCs w:val="24"/>
          <w:lang w:eastAsia="en-IN" w:bidi="hi-IN"/>
        </w:rPr>
        <w:t>) If the loss cannot be wholly so set off, the amount of loss not so set off shall be carried forward to the following assessment year and so on</w:t>
      </w:r>
    </w:p>
    <w:p w:rsidR="00480514" w:rsidRPr="00B44D56" w:rsidRDefault="00480514" w:rsidP="00480514">
      <w:pPr>
        <w:shd w:val="clear" w:color="auto" w:fill="FFFFFF"/>
        <w:spacing w:after="80" w:line="240" w:lineRule="auto"/>
        <w:ind w:left="567" w:hanging="397"/>
        <w:jc w:val="both"/>
        <w:rPr>
          <w:rFonts w:ascii="Times New Roman" w:eastAsia="Times New Roman" w:hAnsi="Times New Roman" w:cs="Times New Roman"/>
          <w:color w:val="444444"/>
          <w:sz w:val="24"/>
          <w:szCs w:val="24"/>
          <w:lang w:eastAsia="en-IN" w:bidi="hi-IN"/>
        </w:rPr>
      </w:pPr>
    </w:p>
    <w:p w:rsidR="00480514" w:rsidRPr="00E63229" w:rsidRDefault="00480514" w:rsidP="0048051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p>
    <w:p w:rsidR="00480514" w:rsidRPr="00C73D0C" w:rsidRDefault="00480514" w:rsidP="00480514"/>
    <w:p w:rsidR="00DF49F7" w:rsidRPr="00480514" w:rsidRDefault="00DF49F7" w:rsidP="00480514">
      <w:bookmarkStart w:id="0" w:name="_GoBack"/>
      <w:bookmarkEnd w:id="0"/>
    </w:p>
    <w:sectPr w:rsidR="00DF49F7" w:rsidRPr="00480514" w:rsidSect="0026788D">
      <w:headerReference w:type="default" r:id="rId129"/>
      <w:footerReference w:type="default" r:id="rId13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5030" w:rsidRDefault="00CD5030" w:rsidP="00FC7149">
      <w:pPr>
        <w:spacing w:after="0" w:line="240" w:lineRule="auto"/>
      </w:pPr>
      <w:r>
        <w:separator/>
      </w:r>
    </w:p>
  </w:endnote>
  <w:endnote w:type="continuationSeparator" w:id="0">
    <w:p w:rsidR="00CD5030" w:rsidRDefault="00CD5030" w:rsidP="00FC7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atha">
    <w:panose1 w:val="020B0604020202020204"/>
    <w:charset w:val="00"/>
    <w:family w:val="swiss"/>
    <w:pitch w:val="variable"/>
    <w:sig w:usb0="001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9F7" w:rsidRPr="008E1D5A" w:rsidRDefault="00DF49F7" w:rsidP="00DF49F7">
    <w:pPr>
      <w:pBdr>
        <w:top w:val="single" w:sz="4" w:space="1" w:color="auto"/>
      </w:pBdr>
      <w:spacing w:after="0" w:line="240" w:lineRule="auto"/>
      <w:rPr>
        <w:rFonts w:ascii="Times New Roman" w:eastAsia="Times New Roman" w:hAnsi="Times New Roman" w:cs="Times New Roman"/>
        <w:sz w:val="18"/>
        <w:szCs w:val="18"/>
        <w:lang w:eastAsia="en-IN" w:bidi="hi-IN"/>
      </w:rPr>
    </w:pPr>
    <w:r>
      <w:rPr>
        <w:noProof/>
        <w:color w:val="5B9BD5" w:themeColor="accent1"/>
        <w:lang w:eastAsia="en-IN" w:bidi="hi-IN"/>
      </w:rPr>
      <mc:AlternateContent>
        <mc:Choice Requires="wps">
          <w:drawing>
            <wp:anchor distT="0" distB="0" distL="114300" distR="114300" simplePos="0" relativeHeight="251660288" behindDoc="0" locked="0" layoutInCell="1" allowOverlap="1">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10026E3C" id="Rectangle 452" o:spid="_x0000_s1026" style="position:absolute;margin-left:0;margin-top:0;width:579.9pt;height:750.3pt;z-index:251660288;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5B9BD5" w:themeColor="accent1"/>
      </w:rPr>
      <w:t xml:space="preserve"> </w:t>
    </w:r>
    <w:r w:rsidR="00D46BAC">
      <w:rPr>
        <w:color w:val="5B9BD5" w:themeColor="accent1"/>
      </w:rPr>
      <w:tab/>
    </w:r>
    <w:r w:rsidR="00D46BAC">
      <w:rPr>
        <w:color w:val="5B9BD5" w:themeColor="accent1"/>
      </w:rPr>
      <w:tab/>
    </w:r>
    <w:r w:rsidR="00D46BAC">
      <w:rPr>
        <w:color w:val="5B9BD5" w:themeColor="accent1"/>
      </w:rPr>
      <w:tab/>
    </w:r>
    <w:r w:rsidRPr="008E1D5A">
      <w:rPr>
        <w:rFonts w:ascii="Times New Roman" w:eastAsia="Times New Roman" w:hAnsi="Times New Roman" w:cs="Times New Roman"/>
        <w:sz w:val="18"/>
        <w:szCs w:val="18"/>
        <w:lang w:eastAsia="en-IN" w:bidi="hi-IN"/>
      </w:rPr>
      <w:t>Flat # 301, Topaz Block, Esteem Heritage Apartments</w:t>
    </w:r>
  </w:p>
  <w:p w:rsidR="00DF49F7" w:rsidRPr="00FC7149" w:rsidRDefault="00DF49F7" w:rsidP="00DF49F7">
    <w:pPr>
      <w:pStyle w:val="Footer"/>
      <w:pBdr>
        <w:top w:val="single" w:sz="4" w:space="1" w:color="auto"/>
      </w:pBdr>
    </w:pPr>
    <w:r w:rsidRPr="008E1D5A">
      <w:rPr>
        <w:rFonts w:ascii="Times New Roman" w:eastAsia="Times New Roman" w:hAnsi="Times New Roman" w:cs="Times New Roman"/>
        <w:sz w:val="18"/>
        <w:szCs w:val="18"/>
        <w:lang w:eastAsia="en-IN" w:bidi="hi-IN"/>
      </w:rPr>
      <w:t>Rose Garden Road, JP Nagara 5th Phase, Bangalore 560 078</w:t>
    </w:r>
    <w:r>
      <w:rPr>
        <w:rFonts w:ascii="Times New Roman" w:eastAsia="Times New Roman" w:hAnsi="Times New Roman" w:cs="Times New Roman"/>
        <w:sz w:val="18"/>
        <w:szCs w:val="18"/>
        <w:lang w:eastAsia="en-IN" w:bidi="hi-IN"/>
      </w:rPr>
      <w:t xml:space="preserve"> </w:t>
    </w:r>
    <w:r w:rsidRPr="008E1D5A">
      <w:rPr>
        <w:rFonts w:ascii="Times New Roman" w:eastAsia="Times New Roman" w:hAnsi="Times New Roman" w:cs="Times New Roman"/>
        <w:lang w:eastAsia="en-IN" w:bidi="hi-IN"/>
      </w:rPr>
      <w:t>+91 77950 50177</w:t>
    </w:r>
    <w:r w:rsidRPr="00AF2943">
      <w:rPr>
        <w:rFonts w:ascii="Times New Roman" w:eastAsia="Times New Roman" w:hAnsi="Times New Roman" w:cs="Times New Roman"/>
        <w:lang w:eastAsia="en-IN" w:bidi="hi-IN"/>
      </w:rPr>
      <w:t xml:space="preserve"> email: </w:t>
    </w:r>
    <w:hyperlink r:id="rId1" w:history="1">
      <w:r w:rsidRPr="00AF2943">
        <w:rPr>
          <w:rStyle w:val="Hyperlink"/>
          <w:rFonts w:ascii="Times New Roman" w:eastAsia="Times New Roman" w:hAnsi="Times New Roman" w:cs="Times New Roman"/>
          <w:color w:val="auto"/>
          <w:lang w:eastAsia="en-IN" w:bidi="hi-IN"/>
        </w:rPr>
        <w:t>crd27220@icai.org</w:t>
      </w:r>
    </w:hyperlink>
    <w:r>
      <w:rPr>
        <w:rFonts w:asciiTheme="majorHAnsi" w:eastAsiaTheme="majorEastAsia" w:hAnsiTheme="majorHAnsi" w:cstheme="majorBidi"/>
        <w:noProof/>
        <w:color w:val="5B9BD5" w:themeColor="accent1"/>
        <w:sz w:val="20"/>
        <w:szCs w:val="20"/>
      </w:rPr>
      <w:t xml:space="preserve">    </w:t>
    </w:r>
    <w:r w:rsidR="00D46BAC">
      <w:rPr>
        <w:rFonts w:asciiTheme="majorHAnsi" w:eastAsiaTheme="majorEastAsia" w:hAnsiTheme="majorHAnsi" w:cstheme="majorBidi"/>
        <w:noProof/>
        <w:color w:val="5B9BD5" w:themeColor="accent1"/>
        <w:sz w:val="20"/>
        <w:szCs w:val="20"/>
      </w:rPr>
      <w:t xml:space="preserve"> p</w:t>
    </w:r>
    <w:r w:rsidR="00D46BAC">
      <w:rPr>
        <w:rFonts w:asciiTheme="majorHAnsi" w:eastAsiaTheme="majorEastAsia" w:hAnsiTheme="majorHAnsi" w:cstheme="majorBidi"/>
        <w:color w:val="5B9BD5" w:themeColor="accent1"/>
        <w:sz w:val="20"/>
        <w:szCs w:val="20"/>
      </w:rPr>
      <w:t xml:space="preserve">g. </w:t>
    </w:r>
    <w:r w:rsidR="00D46BAC">
      <w:rPr>
        <w:color w:val="5B9BD5" w:themeColor="accent1"/>
        <w:sz w:val="20"/>
        <w:szCs w:val="20"/>
      </w:rPr>
      <w:fldChar w:fldCharType="begin"/>
    </w:r>
    <w:r w:rsidR="00D46BAC">
      <w:rPr>
        <w:color w:val="5B9BD5" w:themeColor="accent1"/>
        <w:sz w:val="20"/>
        <w:szCs w:val="20"/>
      </w:rPr>
      <w:instrText xml:space="preserve"> PAGE    \* MERGEFORMAT </w:instrText>
    </w:r>
    <w:r w:rsidR="00D46BAC">
      <w:rPr>
        <w:color w:val="5B9BD5" w:themeColor="accent1"/>
        <w:sz w:val="20"/>
        <w:szCs w:val="20"/>
      </w:rPr>
      <w:fldChar w:fldCharType="separate"/>
    </w:r>
    <w:r w:rsidR="00480514" w:rsidRPr="00480514">
      <w:rPr>
        <w:rFonts w:asciiTheme="majorHAnsi" w:eastAsiaTheme="majorEastAsia" w:hAnsiTheme="majorHAnsi" w:cstheme="majorBidi"/>
        <w:noProof/>
        <w:color w:val="5B9BD5" w:themeColor="accent1"/>
        <w:sz w:val="20"/>
        <w:szCs w:val="20"/>
      </w:rPr>
      <w:t>1</w:t>
    </w:r>
    <w:r w:rsidR="00D46BAC">
      <w:rPr>
        <w:rFonts w:asciiTheme="majorHAnsi" w:eastAsiaTheme="majorEastAsia" w:hAnsiTheme="majorHAnsi" w:cstheme="majorBidi"/>
        <w:noProof/>
        <w:color w:val="5B9BD5" w:themeColor="accent1"/>
        <w:sz w:val="20"/>
        <w:szCs w:val="20"/>
      </w:rPr>
      <w:fldChar w:fldCharType="end"/>
    </w:r>
    <w:r w:rsidR="00D46BAC">
      <w:rPr>
        <w:rFonts w:asciiTheme="majorHAnsi" w:eastAsiaTheme="majorEastAsia" w:hAnsiTheme="majorHAnsi" w:cstheme="majorBidi"/>
        <w:noProof/>
        <w:color w:val="5B9BD5" w:themeColor="accent1"/>
        <w:sz w:val="20"/>
        <w:szCs w:val="20"/>
      </w:rPr>
      <w:t xml:space="preserve">                                 </w:t>
    </w:r>
    <w:r>
      <w:rPr>
        <w:rFonts w:asciiTheme="majorHAnsi" w:eastAsiaTheme="majorEastAsia" w:hAnsiTheme="majorHAnsi" w:cstheme="majorBidi"/>
        <w:noProof/>
        <w:color w:val="5B9BD5" w:themeColor="accent1"/>
        <w:sz w:val="20"/>
        <w:szCs w:val="20"/>
      </w:rPr>
      <w:t xml:space="preserve">                        </w:t>
    </w:r>
  </w:p>
  <w:p w:rsidR="00DF49F7" w:rsidRPr="008E1D5A" w:rsidRDefault="00DF49F7" w:rsidP="00DF49F7">
    <w:pPr>
      <w:spacing w:after="0" w:line="240" w:lineRule="auto"/>
      <w:ind w:left="1440" w:firstLine="720"/>
      <w:rPr>
        <w:rFonts w:ascii="Times New Roman" w:eastAsia="Times New Roman" w:hAnsi="Times New Roman" w:cs="Times New Roman"/>
        <w:sz w:val="18"/>
        <w:szCs w:val="18"/>
        <w:lang w:eastAsia="en-IN" w:bidi="hi-I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5030" w:rsidRDefault="00CD5030" w:rsidP="00FC7149">
      <w:pPr>
        <w:spacing w:after="0" w:line="240" w:lineRule="auto"/>
      </w:pPr>
      <w:r>
        <w:separator/>
      </w:r>
    </w:p>
  </w:footnote>
  <w:footnote w:type="continuationSeparator" w:id="0">
    <w:p w:rsidR="00CD5030" w:rsidRDefault="00CD5030" w:rsidP="00FC71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B12" w:rsidRDefault="00DC6B12"/>
  <w:tbl>
    <w:tblPr>
      <w:tblW w:w="9816" w:type="dxa"/>
      <w:tblInd w:w="-385" w:type="dxa"/>
      <w:tblBorders>
        <w:bottom w:val="single" w:sz="4" w:space="0" w:color="auto"/>
      </w:tblBorders>
      <w:tblLook w:val="04A0" w:firstRow="1" w:lastRow="0" w:firstColumn="1" w:lastColumn="0" w:noHBand="0" w:noVBand="1"/>
    </w:tblPr>
    <w:tblGrid>
      <w:gridCol w:w="5116"/>
      <w:gridCol w:w="1085"/>
      <w:gridCol w:w="1085"/>
      <w:gridCol w:w="1085"/>
      <w:gridCol w:w="1098"/>
      <w:gridCol w:w="347"/>
    </w:tblGrid>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b/>
              <w:bCs/>
              <w:color w:val="002060"/>
              <w:lang w:eastAsia="en-IN" w:bidi="hi-IN"/>
            </w:rPr>
          </w:pPr>
          <w:r w:rsidRPr="008E1D5A">
            <w:rPr>
              <w:rFonts w:ascii="Times New Roman" w:eastAsia="Times New Roman" w:hAnsi="Times New Roman" w:cs="Times New Roman"/>
              <w:b/>
              <w:bCs/>
              <w:color w:val="002060"/>
              <w:lang w:eastAsia="en-IN" w:bidi="hi-IN"/>
            </w:rPr>
            <w:t>RAMADURAI C  M</w:t>
          </w:r>
          <w:r w:rsidRPr="00AF2943">
            <w:rPr>
              <w:rFonts w:ascii="Times New Roman" w:eastAsia="Times New Roman" w:hAnsi="Times New Roman" w:cs="Times New Roman"/>
              <w:b/>
              <w:bCs/>
              <w:color w:val="002060"/>
              <w:lang w:eastAsia="en-IN" w:bidi="hi-IN"/>
            </w:rPr>
            <w:t>.</w:t>
          </w:r>
          <w:r w:rsidRPr="008E1D5A">
            <w:rPr>
              <w:rFonts w:ascii="Times New Roman" w:eastAsia="Times New Roman" w:hAnsi="Times New Roman" w:cs="Times New Roman"/>
              <w:b/>
              <w:bCs/>
              <w:color w:val="002060"/>
              <w:lang w:eastAsia="en-IN" w:bidi="hi-IN"/>
            </w:rPr>
            <w:t>Com ; FCA; ACMA</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b/>
              <w:bCs/>
              <w:color w:val="002060"/>
              <w:lang w:eastAsia="en-IN" w:bidi="hi-IN"/>
            </w:rPr>
          </w:pPr>
        </w:p>
      </w:tc>
      <w:tc>
        <w:tcPr>
          <w:tcW w:w="3268" w:type="dxa"/>
          <w:gridSpan w:val="3"/>
          <w:vMerge w:val="restart"/>
          <w:shd w:val="clear" w:color="auto" w:fill="auto"/>
          <w:noWrap/>
          <w:vAlign w:val="bottom"/>
          <w:hideMark/>
        </w:tcPr>
        <w:p w:rsidR="008E1D5A" w:rsidRPr="008E1D5A" w:rsidRDefault="008E1D5A" w:rsidP="008E1D5A">
          <w:pPr>
            <w:spacing w:after="0" w:line="240" w:lineRule="auto"/>
            <w:rPr>
              <w:rFonts w:ascii="Calibri" w:eastAsia="Times New Roman" w:hAnsi="Calibri" w:cs="Calibri"/>
              <w:color w:val="002060"/>
              <w:lang w:eastAsia="en-IN" w:bidi="hi-IN"/>
            </w:rPr>
          </w:pPr>
          <w:r w:rsidRPr="007F2F14">
            <w:rPr>
              <w:rFonts w:ascii="Calibri" w:eastAsia="Times New Roman" w:hAnsi="Calibri" w:cs="Calibri"/>
              <w:noProof/>
              <w:color w:val="002060"/>
              <w:lang w:eastAsia="en-IN" w:bidi="hi-IN"/>
            </w:rPr>
            <w:drawing>
              <wp:anchor distT="0" distB="0" distL="114300" distR="114300" simplePos="0" relativeHeight="251658240" behindDoc="0" locked="0" layoutInCell="1" allowOverlap="1">
                <wp:simplePos x="0" y="0"/>
                <wp:positionH relativeFrom="column">
                  <wp:posOffset>635000</wp:posOffset>
                </wp:positionH>
                <wp:positionV relativeFrom="paragraph">
                  <wp:posOffset>-1223010</wp:posOffset>
                </wp:positionV>
                <wp:extent cx="1495425" cy="1181100"/>
                <wp:effectExtent l="0" t="0" r="9525" b="0"/>
                <wp:wrapNone/>
                <wp:docPr id="1" name="Picture 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5425" cy="1181100"/>
                        </a:xfrm>
                        <a:prstGeom prst="rect">
                          <a:avLst/>
                        </a:prstGeom>
                      </pic:spPr>
                    </pic:pic>
                  </a:graphicData>
                </a:graphic>
                <wp14:sizeRelH relativeFrom="margin">
                  <wp14:pctWidth>0</wp14:pctWidth>
                </wp14:sizeRelH>
                <wp14:sizeRelV relativeFrom="margin">
                  <wp14:pctHeight>0</wp14:pctHeight>
                </wp14:sizeRelV>
              </wp:anchor>
            </w:drawing>
          </w:r>
        </w:p>
      </w:tc>
      <w:tc>
        <w:tcPr>
          <w:tcW w:w="347" w:type="dxa"/>
          <w:shd w:val="clear" w:color="auto" w:fill="auto"/>
          <w:noWrap/>
          <w:vAlign w:val="bottom"/>
          <w:hideMark/>
        </w:tcPr>
        <w:p w:rsidR="008E1D5A" w:rsidRPr="008E1D5A" w:rsidRDefault="008E1D5A" w:rsidP="008E1D5A">
          <w:pPr>
            <w:spacing w:after="0" w:line="240" w:lineRule="auto"/>
            <w:rPr>
              <w:rFonts w:ascii="Calibri" w:eastAsia="Times New Roman" w:hAnsi="Calibri" w:cs="Calibri"/>
              <w:color w:val="002060"/>
              <w:lang w:eastAsia="en-IN" w:bidi="hi-IN"/>
            </w:rPr>
          </w:pPr>
        </w:p>
      </w:tc>
    </w:tr>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lang w:eastAsia="en-IN" w:bidi="hi-IN"/>
            </w:rPr>
            <w:t>Chartered Accountant</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color w:val="002060"/>
              <w:sz w:val="20"/>
              <w:szCs w:val="20"/>
              <w:lang w:eastAsia="en-IN" w:bidi="hi-IN"/>
            </w:rPr>
            <w:t>M No 027220</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8E1D5A" w:rsidRPr="008E1D5A" w:rsidRDefault="008E1D5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8E1D5A" w:rsidRPr="008E1D5A" w:rsidRDefault="008E1D5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2250EB" w:rsidRPr="008E1D5A" w:rsidRDefault="002250EB" w:rsidP="008E1D5A">
          <w:pPr>
            <w:spacing w:after="0" w:line="240" w:lineRule="auto"/>
            <w:rPr>
              <w:rFonts w:ascii="Times New Roman" w:eastAsia="Times New Roman" w:hAnsi="Times New Roman" w:cs="Times New Roman"/>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C6B12">
      <w:trPr>
        <w:trHeight w:val="81"/>
      </w:trPr>
      <w:tc>
        <w:tcPr>
          <w:tcW w:w="5116"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98"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bl>
  <w:p w:rsidR="00CB6279" w:rsidRDefault="00E55189" w:rsidP="00E55189">
    <w:pPr>
      <w:pStyle w:val="Header"/>
      <w:tabs>
        <w:tab w:val="clear" w:pos="4513"/>
        <w:tab w:val="clear" w:pos="9026"/>
        <w:tab w:val="left" w:pos="2625"/>
      </w:tabs>
    </w:pPr>
    <w:r>
      <w:tab/>
    </w:r>
  </w:p>
  <w:p w:rsidR="002B5B84" w:rsidRDefault="002B5B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A6B16"/>
    <w:multiLevelType w:val="multilevel"/>
    <w:tmpl w:val="CE622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BD7B2E"/>
    <w:multiLevelType w:val="hybridMultilevel"/>
    <w:tmpl w:val="CE3666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47B2988"/>
    <w:multiLevelType w:val="hybridMultilevel"/>
    <w:tmpl w:val="20B4FF3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AAD192C"/>
    <w:multiLevelType w:val="multilevel"/>
    <w:tmpl w:val="D17C1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436AA7"/>
    <w:multiLevelType w:val="hybridMultilevel"/>
    <w:tmpl w:val="890AC00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A3E"/>
    <w:rsid w:val="00006662"/>
    <w:rsid w:val="00007D46"/>
    <w:rsid w:val="00012290"/>
    <w:rsid w:val="00021635"/>
    <w:rsid w:val="000345C3"/>
    <w:rsid w:val="00040827"/>
    <w:rsid w:val="00080A5D"/>
    <w:rsid w:val="0009506A"/>
    <w:rsid w:val="000A27E3"/>
    <w:rsid w:val="000B647C"/>
    <w:rsid w:val="000C4734"/>
    <w:rsid w:val="001025DF"/>
    <w:rsid w:val="00115B0F"/>
    <w:rsid w:val="001310EB"/>
    <w:rsid w:val="001323D0"/>
    <w:rsid w:val="001473F6"/>
    <w:rsid w:val="00151D48"/>
    <w:rsid w:val="00185718"/>
    <w:rsid w:val="00193AA7"/>
    <w:rsid w:val="001D59BC"/>
    <w:rsid w:val="001F025E"/>
    <w:rsid w:val="002100B7"/>
    <w:rsid w:val="002201EE"/>
    <w:rsid w:val="00224487"/>
    <w:rsid w:val="002250EB"/>
    <w:rsid w:val="002370D8"/>
    <w:rsid w:val="0026788D"/>
    <w:rsid w:val="002A38EE"/>
    <w:rsid w:val="002A4D70"/>
    <w:rsid w:val="002B5362"/>
    <w:rsid w:val="002B5B84"/>
    <w:rsid w:val="002C5492"/>
    <w:rsid w:val="002D6903"/>
    <w:rsid w:val="002E7DCB"/>
    <w:rsid w:val="002F3502"/>
    <w:rsid w:val="00330ED7"/>
    <w:rsid w:val="0033593E"/>
    <w:rsid w:val="00386C6F"/>
    <w:rsid w:val="00397E19"/>
    <w:rsid w:val="003E7246"/>
    <w:rsid w:val="00456963"/>
    <w:rsid w:val="00472DF2"/>
    <w:rsid w:val="00480514"/>
    <w:rsid w:val="004924D4"/>
    <w:rsid w:val="004949B9"/>
    <w:rsid w:val="00495941"/>
    <w:rsid w:val="004D733A"/>
    <w:rsid w:val="00516F8B"/>
    <w:rsid w:val="005274F5"/>
    <w:rsid w:val="0057375F"/>
    <w:rsid w:val="00595CAE"/>
    <w:rsid w:val="005B257C"/>
    <w:rsid w:val="005B3992"/>
    <w:rsid w:val="00640150"/>
    <w:rsid w:val="00660255"/>
    <w:rsid w:val="00663A1C"/>
    <w:rsid w:val="006C6A21"/>
    <w:rsid w:val="006D0071"/>
    <w:rsid w:val="00716A32"/>
    <w:rsid w:val="00726005"/>
    <w:rsid w:val="00751ECB"/>
    <w:rsid w:val="00794C97"/>
    <w:rsid w:val="007F2F14"/>
    <w:rsid w:val="007F56E0"/>
    <w:rsid w:val="00810BAC"/>
    <w:rsid w:val="0081587F"/>
    <w:rsid w:val="008252A2"/>
    <w:rsid w:val="00832356"/>
    <w:rsid w:val="00854BE8"/>
    <w:rsid w:val="008610BC"/>
    <w:rsid w:val="00862D94"/>
    <w:rsid w:val="0088209B"/>
    <w:rsid w:val="008B4161"/>
    <w:rsid w:val="008D47A8"/>
    <w:rsid w:val="008E1D5A"/>
    <w:rsid w:val="008E57D1"/>
    <w:rsid w:val="009171C0"/>
    <w:rsid w:val="0091739F"/>
    <w:rsid w:val="009250B4"/>
    <w:rsid w:val="00926625"/>
    <w:rsid w:val="00930DB5"/>
    <w:rsid w:val="00945D3D"/>
    <w:rsid w:val="009465A4"/>
    <w:rsid w:val="00947D80"/>
    <w:rsid w:val="00947EDE"/>
    <w:rsid w:val="00964DFF"/>
    <w:rsid w:val="00966713"/>
    <w:rsid w:val="00994C3F"/>
    <w:rsid w:val="009B7A3E"/>
    <w:rsid w:val="009C7B0F"/>
    <w:rsid w:val="009D0E91"/>
    <w:rsid w:val="009F6D2F"/>
    <w:rsid w:val="00A038BC"/>
    <w:rsid w:val="00A30D69"/>
    <w:rsid w:val="00A317BC"/>
    <w:rsid w:val="00A81B38"/>
    <w:rsid w:val="00A84008"/>
    <w:rsid w:val="00A84FE2"/>
    <w:rsid w:val="00AB774F"/>
    <w:rsid w:val="00AD0E1D"/>
    <w:rsid w:val="00AE30B6"/>
    <w:rsid w:val="00AF272C"/>
    <w:rsid w:val="00AF2943"/>
    <w:rsid w:val="00AF7F30"/>
    <w:rsid w:val="00B029D5"/>
    <w:rsid w:val="00B260B5"/>
    <w:rsid w:val="00B376B4"/>
    <w:rsid w:val="00B72CA4"/>
    <w:rsid w:val="00B93EF0"/>
    <w:rsid w:val="00C12A6F"/>
    <w:rsid w:val="00C3411C"/>
    <w:rsid w:val="00C73D0C"/>
    <w:rsid w:val="00C73F6F"/>
    <w:rsid w:val="00C74007"/>
    <w:rsid w:val="00C76F4C"/>
    <w:rsid w:val="00C921DD"/>
    <w:rsid w:val="00CB6279"/>
    <w:rsid w:val="00CC1A4E"/>
    <w:rsid w:val="00CC52FA"/>
    <w:rsid w:val="00CD5030"/>
    <w:rsid w:val="00CE217B"/>
    <w:rsid w:val="00D224FD"/>
    <w:rsid w:val="00D231F5"/>
    <w:rsid w:val="00D46BAC"/>
    <w:rsid w:val="00D872FF"/>
    <w:rsid w:val="00DB6ACA"/>
    <w:rsid w:val="00DC5392"/>
    <w:rsid w:val="00DC6B12"/>
    <w:rsid w:val="00DD5046"/>
    <w:rsid w:val="00DD5772"/>
    <w:rsid w:val="00DE4A54"/>
    <w:rsid w:val="00DF2180"/>
    <w:rsid w:val="00DF49F7"/>
    <w:rsid w:val="00E100FB"/>
    <w:rsid w:val="00E13A5E"/>
    <w:rsid w:val="00E423E1"/>
    <w:rsid w:val="00E55189"/>
    <w:rsid w:val="00E77D99"/>
    <w:rsid w:val="00EA67B1"/>
    <w:rsid w:val="00EE70F9"/>
    <w:rsid w:val="00F22E0D"/>
    <w:rsid w:val="00F40B84"/>
    <w:rsid w:val="00F4143D"/>
    <w:rsid w:val="00F7371B"/>
    <w:rsid w:val="00FC38E8"/>
    <w:rsid w:val="00FC7149"/>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6FF6DE8-9323-4FEC-9551-51FB36533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t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D5A"/>
  </w:style>
  <w:style w:type="paragraph" w:styleId="Heading1">
    <w:name w:val="heading 1"/>
    <w:basedOn w:val="Normal"/>
    <w:next w:val="Normal"/>
    <w:link w:val="Heading1Char"/>
    <w:uiPriority w:val="9"/>
    <w:qFormat/>
    <w:rsid w:val="008E1D5A"/>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8E1D5A"/>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8E1D5A"/>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E1D5A"/>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8E1D5A"/>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8E1D5A"/>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8E1D5A"/>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8E1D5A"/>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8E1D5A"/>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E1D5A"/>
    <w:rPr>
      <w:rFonts w:asciiTheme="majorHAnsi" w:eastAsiaTheme="majorEastAsia" w:hAnsiTheme="majorHAnsi" w:cstheme="majorBidi"/>
      <w:color w:val="2E74B5" w:themeColor="accent1" w:themeShade="BF"/>
      <w:sz w:val="28"/>
      <w:szCs w:val="28"/>
    </w:rPr>
  </w:style>
  <w:style w:type="paragraph" w:customStyle="1" w:styleId="tx">
    <w:name w:val="tx"/>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converted-space">
    <w:name w:val="apple-converted-space"/>
    <w:basedOn w:val="DefaultParagraphFont"/>
    <w:rsid w:val="009B7A3E"/>
  </w:style>
  <w:style w:type="paragraph" w:customStyle="1" w:styleId="indent1a">
    <w:name w:val="indent1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Hyperlink">
    <w:name w:val="Hyperlink"/>
    <w:basedOn w:val="DefaultParagraphFont"/>
    <w:uiPriority w:val="99"/>
    <w:unhideWhenUsed/>
    <w:rsid w:val="009B7A3E"/>
    <w:rPr>
      <w:color w:val="0000FF"/>
      <w:u w:val="single"/>
    </w:rPr>
  </w:style>
  <w:style w:type="paragraph" w:styleId="NormalWeb">
    <w:name w:val="Normal (Web)"/>
    <w:basedOn w:val="Normal"/>
    <w:uiPriority w:val="99"/>
    <w:unhideWhenUsed/>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tab-span">
    <w:name w:val="apple-tab-span"/>
    <w:basedOn w:val="DefaultParagraphFont"/>
    <w:rsid w:val="009B7A3E"/>
  </w:style>
  <w:style w:type="paragraph" w:customStyle="1" w:styleId="indent2a">
    <w:name w:val="indent2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styleId="ListParagraph">
    <w:name w:val="List Paragraph"/>
    <w:basedOn w:val="Normal"/>
    <w:uiPriority w:val="34"/>
    <w:qFormat/>
    <w:rsid w:val="00012290"/>
    <w:pPr>
      <w:ind w:left="720"/>
      <w:contextualSpacing/>
    </w:pPr>
  </w:style>
  <w:style w:type="paragraph" w:styleId="Header">
    <w:name w:val="header"/>
    <w:basedOn w:val="Normal"/>
    <w:link w:val="HeaderChar"/>
    <w:uiPriority w:val="99"/>
    <w:unhideWhenUsed/>
    <w:rsid w:val="00FC71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7149"/>
  </w:style>
  <w:style w:type="paragraph" w:styleId="Footer">
    <w:name w:val="footer"/>
    <w:basedOn w:val="Normal"/>
    <w:link w:val="FooterChar"/>
    <w:uiPriority w:val="99"/>
    <w:unhideWhenUsed/>
    <w:rsid w:val="00FC71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7149"/>
  </w:style>
  <w:style w:type="paragraph" w:customStyle="1" w:styleId="indent1">
    <w:name w:val="indent1"/>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2">
    <w:name w:val="indent2"/>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3">
    <w:name w:val="indent3"/>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4">
    <w:name w:val="indent4"/>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5">
    <w:name w:val="indent5"/>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6">
    <w:name w:val="indent6"/>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FollowedHyperlink">
    <w:name w:val="FollowedHyperlink"/>
    <w:basedOn w:val="DefaultParagraphFont"/>
    <w:uiPriority w:val="99"/>
    <w:semiHidden/>
    <w:unhideWhenUsed/>
    <w:rsid w:val="002100B7"/>
    <w:rPr>
      <w:color w:val="954F72" w:themeColor="followedHyperlink"/>
      <w:u w:val="single"/>
    </w:rPr>
  </w:style>
  <w:style w:type="paragraph" w:styleId="NoSpacing">
    <w:name w:val="No Spacing"/>
    <w:uiPriority w:val="1"/>
    <w:qFormat/>
    <w:rsid w:val="008E1D5A"/>
    <w:pPr>
      <w:spacing w:after="0" w:line="240" w:lineRule="auto"/>
    </w:pPr>
  </w:style>
  <w:style w:type="character" w:customStyle="1" w:styleId="Heading1Char">
    <w:name w:val="Heading 1 Char"/>
    <w:basedOn w:val="DefaultParagraphFont"/>
    <w:link w:val="Heading1"/>
    <w:uiPriority w:val="9"/>
    <w:rsid w:val="008E1D5A"/>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rsid w:val="008E1D5A"/>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8E1D5A"/>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8E1D5A"/>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8E1D5A"/>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8E1D5A"/>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8E1D5A"/>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8E1D5A"/>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8E1D5A"/>
    <w:pPr>
      <w:spacing w:line="240" w:lineRule="auto"/>
    </w:pPr>
    <w:rPr>
      <w:b/>
      <w:bCs/>
      <w:smallCaps/>
      <w:color w:val="44546A" w:themeColor="text2"/>
    </w:rPr>
  </w:style>
  <w:style w:type="paragraph" w:styleId="Title">
    <w:name w:val="Title"/>
    <w:basedOn w:val="Normal"/>
    <w:next w:val="Normal"/>
    <w:link w:val="TitleChar"/>
    <w:uiPriority w:val="10"/>
    <w:qFormat/>
    <w:rsid w:val="008E1D5A"/>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8E1D5A"/>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8E1D5A"/>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8E1D5A"/>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8E1D5A"/>
    <w:rPr>
      <w:b/>
      <w:bCs/>
    </w:rPr>
  </w:style>
  <w:style w:type="character" w:styleId="Emphasis">
    <w:name w:val="Emphasis"/>
    <w:basedOn w:val="DefaultParagraphFont"/>
    <w:uiPriority w:val="20"/>
    <w:qFormat/>
    <w:rsid w:val="008E1D5A"/>
    <w:rPr>
      <w:i/>
      <w:iCs/>
    </w:rPr>
  </w:style>
  <w:style w:type="paragraph" w:styleId="Quote">
    <w:name w:val="Quote"/>
    <w:basedOn w:val="Normal"/>
    <w:next w:val="Normal"/>
    <w:link w:val="QuoteChar"/>
    <w:uiPriority w:val="29"/>
    <w:qFormat/>
    <w:rsid w:val="008E1D5A"/>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8E1D5A"/>
    <w:rPr>
      <w:color w:val="44546A" w:themeColor="text2"/>
      <w:sz w:val="24"/>
      <w:szCs w:val="24"/>
    </w:rPr>
  </w:style>
  <w:style w:type="paragraph" w:styleId="IntenseQuote">
    <w:name w:val="Intense Quote"/>
    <w:basedOn w:val="Normal"/>
    <w:next w:val="Normal"/>
    <w:link w:val="IntenseQuoteChar"/>
    <w:uiPriority w:val="30"/>
    <w:qFormat/>
    <w:rsid w:val="008E1D5A"/>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8E1D5A"/>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8E1D5A"/>
    <w:rPr>
      <w:i/>
      <w:iCs/>
      <w:color w:val="595959" w:themeColor="text1" w:themeTint="A6"/>
    </w:rPr>
  </w:style>
  <w:style w:type="character" w:styleId="IntenseEmphasis">
    <w:name w:val="Intense Emphasis"/>
    <w:basedOn w:val="DefaultParagraphFont"/>
    <w:uiPriority w:val="21"/>
    <w:qFormat/>
    <w:rsid w:val="008E1D5A"/>
    <w:rPr>
      <w:b/>
      <w:bCs/>
      <w:i/>
      <w:iCs/>
    </w:rPr>
  </w:style>
  <w:style w:type="character" w:styleId="SubtleReference">
    <w:name w:val="Subtle Reference"/>
    <w:basedOn w:val="DefaultParagraphFont"/>
    <w:uiPriority w:val="31"/>
    <w:qFormat/>
    <w:rsid w:val="008E1D5A"/>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8E1D5A"/>
    <w:rPr>
      <w:b/>
      <w:bCs/>
      <w:smallCaps/>
      <w:color w:val="44546A" w:themeColor="text2"/>
      <w:u w:val="single"/>
    </w:rPr>
  </w:style>
  <w:style w:type="character" w:styleId="BookTitle">
    <w:name w:val="Book Title"/>
    <w:basedOn w:val="DefaultParagraphFont"/>
    <w:uiPriority w:val="33"/>
    <w:qFormat/>
    <w:rsid w:val="008E1D5A"/>
    <w:rPr>
      <w:b/>
      <w:bCs/>
      <w:smallCaps/>
      <w:spacing w:val="10"/>
    </w:rPr>
  </w:style>
  <w:style w:type="paragraph" w:styleId="TOCHeading">
    <w:name w:val="TOC Heading"/>
    <w:basedOn w:val="Heading1"/>
    <w:next w:val="Normal"/>
    <w:uiPriority w:val="39"/>
    <w:semiHidden/>
    <w:unhideWhenUsed/>
    <w:qFormat/>
    <w:rsid w:val="008E1D5A"/>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01968">
      <w:bodyDiv w:val="1"/>
      <w:marLeft w:val="0"/>
      <w:marRight w:val="0"/>
      <w:marTop w:val="0"/>
      <w:marBottom w:val="0"/>
      <w:divBdr>
        <w:top w:val="none" w:sz="0" w:space="0" w:color="auto"/>
        <w:left w:val="none" w:sz="0" w:space="0" w:color="auto"/>
        <w:bottom w:val="none" w:sz="0" w:space="0" w:color="auto"/>
        <w:right w:val="none" w:sz="0" w:space="0" w:color="auto"/>
      </w:divBdr>
      <w:divsChild>
        <w:div w:id="1225530750">
          <w:marLeft w:val="0"/>
          <w:marRight w:val="0"/>
          <w:marTop w:val="0"/>
          <w:marBottom w:val="0"/>
          <w:divBdr>
            <w:top w:val="none" w:sz="0" w:space="0" w:color="auto"/>
            <w:left w:val="none" w:sz="0" w:space="0" w:color="auto"/>
            <w:bottom w:val="none" w:sz="0" w:space="0" w:color="auto"/>
            <w:right w:val="none" w:sz="0" w:space="0" w:color="auto"/>
          </w:divBdr>
          <w:divsChild>
            <w:div w:id="1531533890">
              <w:marLeft w:val="0"/>
              <w:marRight w:val="0"/>
              <w:marTop w:val="0"/>
              <w:marBottom w:val="0"/>
              <w:divBdr>
                <w:top w:val="none" w:sz="0" w:space="0" w:color="auto"/>
                <w:left w:val="none" w:sz="0" w:space="0" w:color="auto"/>
                <w:bottom w:val="none" w:sz="0" w:space="0" w:color="auto"/>
                <w:right w:val="none" w:sz="0" w:space="0" w:color="auto"/>
              </w:divBdr>
              <w:divsChild>
                <w:div w:id="1748263431">
                  <w:marLeft w:val="0"/>
                  <w:marRight w:val="0"/>
                  <w:marTop w:val="0"/>
                  <w:marBottom w:val="0"/>
                  <w:divBdr>
                    <w:top w:val="none" w:sz="0" w:space="0" w:color="auto"/>
                    <w:left w:val="none" w:sz="0" w:space="0" w:color="auto"/>
                    <w:bottom w:val="none" w:sz="0" w:space="0" w:color="auto"/>
                    <w:right w:val="none" w:sz="0" w:space="0" w:color="auto"/>
                  </w:divBdr>
                  <w:divsChild>
                    <w:div w:id="101542209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5882260">
          <w:marLeft w:val="0"/>
          <w:marRight w:val="0"/>
          <w:marTop w:val="525"/>
          <w:marBottom w:val="0"/>
          <w:divBdr>
            <w:top w:val="none" w:sz="0" w:space="0" w:color="auto"/>
            <w:left w:val="none" w:sz="0" w:space="0" w:color="auto"/>
            <w:bottom w:val="none" w:sz="0" w:space="0" w:color="auto"/>
            <w:right w:val="none" w:sz="0" w:space="0" w:color="auto"/>
          </w:divBdr>
          <w:divsChild>
            <w:div w:id="1336494465">
              <w:marLeft w:val="0"/>
              <w:marRight w:val="0"/>
              <w:marTop w:val="0"/>
              <w:marBottom w:val="0"/>
              <w:divBdr>
                <w:top w:val="none" w:sz="0" w:space="0" w:color="auto"/>
                <w:left w:val="none" w:sz="0" w:space="0" w:color="auto"/>
                <w:bottom w:val="none" w:sz="0" w:space="0" w:color="auto"/>
                <w:right w:val="none" w:sz="0" w:space="0" w:color="auto"/>
              </w:divBdr>
              <w:divsChild>
                <w:div w:id="209034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4436">
      <w:bodyDiv w:val="1"/>
      <w:marLeft w:val="0"/>
      <w:marRight w:val="0"/>
      <w:marTop w:val="0"/>
      <w:marBottom w:val="0"/>
      <w:divBdr>
        <w:top w:val="none" w:sz="0" w:space="0" w:color="auto"/>
        <w:left w:val="none" w:sz="0" w:space="0" w:color="auto"/>
        <w:bottom w:val="none" w:sz="0" w:space="0" w:color="auto"/>
        <w:right w:val="none" w:sz="0" w:space="0" w:color="auto"/>
      </w:divBdr>
      <w:divsChild>
        <w:div w:id="1487627261">
          <w:marLeft w:val="0"/>
          <w:marRight w:val="0"/>
          <w:marTop w:val="0"/>
          <w:marBottom w:val="0"/>
          <w:divBdr>
            <w:top w:val="none" w:sz="0" w:space="0" w:color="auto"/>
            <w:left w:val="none" w:sz="0" w:space="0" w:color="auto"/>
            <w:bottom w:val="none" w:sz="0" w:space="0" w:color="auto"/>
            <w:right w:val="none" w:sz="0" w:space="0" w:color="auto"/>
          </w:divBdr>
          <w:divsChild>
            <w:div w:id="650408446">
              <w:marLeft w:val="0"/>
              <w:marRight w:val="0"/>
              <w:marTop w:val="0"/>
              <w:marBottom w:val="0"/>
              <w:divBdr>
                <w:top w:val="none" w:sz="0" w:space="0" w:color="auto"/>
                <w:left w:val="none" w:sz="0" w:space="0" w:color="auto"/>
                <w:bottom w:val="none" w:sz="0" w:space="0" w:color="auto"/>
                <w:right w:val="none" w:sz="0" w:space="0" w:color="auto"/>
              </w:divBdr>
              <w:divsChild>
                <w:div w:id="120537337">
                  <w:marLeft w:val="0"/>
                  <w:marRight w:val="0"/>
                  <w:marTop w:val="0"/>
                  <w:marBottom w:val="0"/>
                  <w:divBdr>
                    <w:top w:val="none" w:sz="0" w:space="0" w:color="auto"/>
                    <w:left w:val="none" w:sz="0" w:space="0" w:color="auto"/>
                    <w:bottom w:val="none" w:sz="0" w:space="0" w:color="auto"/>
                    <w:right w:val="none" w:sz="0" w:space="0" w:color="auto"/>
                  </w:divBdr>
                  <w:divsChild>
                    <w:div w:id="189904667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593514606">
          <w:marLeft w:val="0"/>
          <w:marRight w:val="0"/>
          <w:marTop w:val="525"/>
          <w:marBottom w:val="0"/>
          <w:divBdr>
            <w:top w:val="none" w:sz="0" w:space="0" w:color="auto"/>
            <w:left w:val="none" w:sz="0" w:space="0" w:color="auto"/>
            <w:bottom w:val="none" w:sz="0" w:space="0" w:color="auto"/>
            <w:right w:val="none" w:sz="0" w:space="0" w:color="auto"/>
          </w:divBdr>
          <w:divsChild>
            <w:div w:id="948315935">
              <w:marLeft w:val="0"/>
              <w:marRight w:val="0"/>
              <w:marTop w:val="0"/>
              <w:marBottom w:val="0"/>
              <w:divBdr>
                <w:top w:val="none" w:sz="0" w:space="0" w:color="auto"/>
                <w:left w:val="none" w:sz="0" w:space="0" w:color="auto"/>
                <w:bottom w:val="none" w:sz="0" w:space="0" w:color="auto"/>
                <w:right w:val="none" w:sz="0" w:space="0" w:color="auto"/>
              </w:divBdr>
              <w:divsChild>
                <w:div w:id="36702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8061">
      <w:bodyDiv w:val="1"/>
      <w:marLeft w:val="0"/>
      <w:marRight w:val="0"/>
      <w:marTop w:val="0"/>
      <w:marBottom w:val="0"/>
      <w:divBdr>
        <w:top w:val="none" w:sz="0" w:space="0" w:color="auto"/>
        <w:left w:val="none" w:sz="0" w:space="0" w:color="auto"/>
        <w:bottom w:val="none" w:sz="0" w:space="0" w:color="auto"/>
        <w:right w:val="none" w:sz="0" w:space="0" w:color="auto"/>
      </w:divBdr>
      <w:divsChild>
        <w:div w:id="830101189">
          <w:marLeft w:val="0"/>
          <w:marRight w:val="0"/>
          <w:marTop w:val="0"/>
          <w:marBottom w:val="0"/>
          <w:divBdr>
            <w:top w:val="none" w:sz="0" w:space="0" w:color="auto"/>
            <w:left w:val="none" w:sz="0" w:space="0" w:color="auto"/>
            <w:bottom w:val="none" w:sz="0" w:space="0" w:color="auto"/>
            <w:right w:val="none" w:sz="0" w:space="0" w:color="auto"/>
          </w:divBdr>
          <w:divsChild>
            <w:div w:id="1154951185">
              <w:marLeft w:val="0"/>
              <w:marRight w:val="0"/>
              <w:marTop w:val="0"/>
              <w:marBottom w:val="0"/>
              <w:divBdr>
                <w:top w:val="none" w:sz="0" w:space="0" w:color="auto"/>
                <w:left w:val="none" w:sz="0" w:space="0" w:color="auto"/>
                <w:bottom w:val="none" w:sz="0" w:space="0" w:color="auto"/>
                <w:right w:val="none" w:sz="0" w:space="0" w:color="auto"/>
              </w:divBdr>
              <w:divsChild>
                <w:div w:id="1432624602">
                  <w:marLeft w:val="0"/>
                  <w:marRight w:val="0"/>
                  <w:marTop w:val="0"/>
                  <w:marBottom w:val="0"/>
                  <w:divBdr>
                    <w:top w:val="none" w:sz="0" w:space="0" w:color="auto"/>
                    <w:left w:val="none" w:sz="0" w:space="0" w:color="auto"/>
                    <w:bottom w:val="none" w:sz="0" w:space="0" w:color="auto"/>
                    <w:right w:val="none" w:sz="0" w:space="0" w:color="auto"/>
                  </w:divBdr>
                  <w:divsChild>
                    <w:div w:id="867915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53962559">
          <w:marLeft w:val="0"/>
          <w:marRight w:val="0"/>
          <w:marTop w:val="525"/>
          <w:marBottom w:val="0"/>
          <w:divBdr>
            <w:top w:val="none" w:sz="0" w:space="0" w:color="auto"/>
            <w:left w:val="none" w:sz="0" w:space="0" w:color="auto"/>
            <w:bottom w:val="none" w:sz="0" w:space="0" w:color="auto"/>
            <w:right w:val="none" w:sz="0" w:space="0" w:color="auto"/>
          </w:divBdr>
          <w:divsChild>
            <w:div w:id="1973320059">
              <w:marLeft w:val="0"/>
              <w:marRight w:val="0"/>
              <w:marTop w:val="0"/>
              <w:marBottom w:val="0"/>
              <w:divBdr>
                <w:top w:val="none" w:sz="0" w:space="0" w:color="auto"/>
                <w:left w:val="none" w:sz="0" w:space="0" w:color="auto"/>
                <w:bottom w:val="none" w:sz="0" w:space="0" w:color="auto"/>
                <w:right w:val="none" w:sz="0" w:space="0" w:color="auto"/>
              </w:divBdr>
              <w:divsChild>
                <w:div w:id="180422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676180">
      <w:bodyDiv w:val="1"/>
      <w:marLeft w:val="0"/>
      <w:marRight w:val="0"/>
      <w:marTop w:val="0"/>
      <w:marBottom w:val="0"/>
      <w:divBdr>
        <w:top w:val="none" w:sz="0" w:space="0" w:color="auto"/>
        <w:left w:val="none" w:sz="0" w:space="0" w:color="auto"/>
        <w:bottom w:val="none" w:sz="0" w:space="0" w:color="auto"/>
        <w:right w:val="none" w:sz="0" w:space="0" w:color="auto"/>
      </w:divBdr>
      <w:divsChild>
        <w:div w:id="272788877">
          <w:marLeft w:val="0"/>
          <w:marRight w:val="0"/>
          <w:marTop w:val="0"/>
          <w:marBottom w:val="0"/>
          <w:divBdr>
            <w:top w:val="none" w:sz="0" w:space="0" w:color="auto"/>
            <w:left w:val="none" w:sz="0" w:space="0" w:color="auto"/>
            <w:bottom w:val="none" w:sz="0" w:space="0" w:color="auto"/>
            <w:right w:val="none" w:sz="0" w:space="0" w:color="auto"/>
          </w:divBdr>
          <w:divsChild>
            <w:div w:id="1031955170">
              <w:marLeft w:val="0"/>
              <w:marRight w:val="0"/>
              <w:marTop w:val="0"/>
              <w:marBottom w:val="0"/>
              <w:divBdr>
                <w:top w:val="none" w:sz="0" w:space="0" w:color="auto"/>
                <w:left w:val="none" w:sz="0" w:space="0" w:color="auto"/>
                <w:bottom w:val="none" w:sz="0" w:space="0" w:color="auto"/>
                <w:right w:val="none" w:sz="0" w:space="0" w:color="auto"/>
              </w:divBdr>
              <w:divsChild>
                <w:div w:id="1215049035">
                  <w:marLeft w:val="0"/>
                  <w:marRight w:val="0"/>
                  <w:marTop w:val="0"/>
                  <w:marBottom w:val="0"/>
                  <w:divBdr>
                    <w:top w:val="none" w:sz="0" w:space="0" w:color="auto"/>
                    <w:left w:val="none" w:sz="0" w:space="0" w:color="auto"/>
                    <w:bottom w:val="none" w:sz="0" w:space="0" w:color="auto"/>
                    <w:right w:val="none" w:sz="0" w:space="0" w:color="auto"/>
                  </w:divBdr>
                  <w:divsChild>
                    <w:div w:id="196727194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0102531">
          <w:marLeft w:val="0"/>
          <w:marRight w:val="0"/>
          <w:marTop w:val="525"/>
          <w:marBottom w:val="0"/>
          <w:divBdr>
            <w:top w:val="none" w:sz="0" w:space="0" w:color="auto"/>
            <w:left w:val="none" w:sz="0" w:space="0" w:color="auto"/>
            <w:bottom w:val="none" w:sz="0" w:space="0" w:color="auto"/>
            <w:right w:val="none" w:sz="0" w:space="0" w:color="auto"/>
          </w:divBdr>
          <w:divsChild>
            <w:div w:id="540171169">
              <w:marLeft w:val="0"/>
              <w:marRight w:val="0"/>
              <w:marTop w:val="0"/>
              <w:marBottom w:val="0"/>
              <w:divBdr>
                <w:top w:val="none" w:sz="0" w:space="0" w:color="auto"/>
                <w:left w:val="none" w:sz="0" w:space="0" w:color="auto"/>
                <w:bottom w:val="none" w:sz="0" w:space="0" w:color="auto"/>
                <w:right w:val="none" w:sz="0" w:space="0" w:color="auto"/>
              </w:divBdr>
              <w:divsChild>
                <w:div w:id="164111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683105">
      <w:bodyDiv w:val="1"/>
      <w:marLeft w:val="0"/>
      <w:marRight w:val="0"/>
      <w:marTop w:val="0"/>
      <w:marBottom w:val="0"/>
      <w:divBdr>
        <w:top w:val="none" w:sz="0" w:space="0" w:color="auto"/>
        <w:left w:val="none" w:sz="0" w:space="0" w:color="auto"/>
        <w:bottom w:val="none" w:sz="0" w:space="0" w:color="auto"/>
        <w:right w:val="none" w:sz="0" w:space="0" w:color="auto"/>
      </w:divBdr>
      <w:divsChild>
        <w:div w:id="868949438">
          <w:marLeft w:val="0"/>
          <w:marRight w:val="0"/>
          <w:marTop w:val="0"/>
          <w:marBottom w:val="0"/>
          <w:divBdr>
            <w:top w:val="none" w:sz="0" w:space="0" w:color="auto"/>
            <w:left w:val="none" w:sz="0" w:space="0" w:color="auto"/>
            <w:bottom w:val="none" w:sz="0" w:space="0" w:color="auto"/>
            <w:right w:val="none" w:sz="0" w:space="0" w:color="auto"/>
          </w:divBdr>
          <w:divsChild>
            <w:div w:id="47653978">
              <w:marLeft w:val="0"/>
              <w:marRight w:val="0"/>
              <w:marTop w:val="0"/>
              <w:marBottom w:val="0"/>
              <w:divBdr>
                <w:top w:val="none" w:sz="0" w:space="0" w:color="auto"/>
                <w:left w:val="none" w:sz="0" w:space="0" w:color="auto"/>
                <w:bottom w:val="none" w:sz="0" w:space="0" w:color="auto"/>
                <w:right w:val="none" w:sz="0" w:space="0" w:color="auto"/>
              </w:divBdr>
              <w:divsChild>
                <w:div w:id="1837570517">
                  <w:marLeft w:val="0"/>
                  <w:marRight w:val="0"/>
                  <w:marTop w:val="0"/>
                  <w:marBottom w:val="0"/>
                  <w:divBdr>
                    <w:top w:val="none" w:sz="0" w:space="0" w:color="auto"/>
                    <w:left w:val="none" w:sz="0" w:space="0" w:color="auto"/>
                    <w:bottom w:val="none" w:sz="0" w:space="0" w:color="auto"/>
                    <w:right w:val="none" w:sz="0" w:space="0" w:color="auto"/>
                  </w:divBdr>
                  <w:divsChild>
                    <w:div w:id="12328871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73502046">
          <w:marLeft w:val="0"/>
          <w:marRight w:val="0"/>
          <w:marTop w:val="525"/>
          <w:marBottom w:val="0"/>
          <w:divBdr>
            <w:top w:val="none" w:sz="0" w:space="0" w:color="auto"/>
            <w:left w:val="none" w:sz="0" w:space="0" w:color="auto"/>
            <w:bottom w:val="none" w:sz="0" w:space="0" w:color="auto"/>
            <w:right w:val="none" w:sz="0" w:space="0" w:color="auto"/>
          </w:divBdr>
          <w:divsChild>
            <w:div w:id="103767190">
              <w:marLeft w:val="0"/>
              <w:marRight w:val="0"/>
              <w:marTop w:val="0"/>
              <w:marBottom w:val="0"/>
              <w:divBdr>
                <w:top w:val="none" w:sz="0" w:space="0" w:color="auto"/>
                <w:left w:val="none" w:sz="0" w:space="0" w:color="auto"/>
                <w:bottom w:val="none" w:sz="0" w:space="0" w:color="auto"/>
                <w:right w:val="none" w:sz="0" w:space="0" w:color="auto"/>
              </w:divBdr>
              <w:divsChild>
                <w:div w:id="28508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834872">
      <w:bodyDiv w:val="1"/>
      <w:marLeft w:val="0"/>
      <w:marRight w:val="0"/>
      <w:marTop w:val="0"/>
      <w:marBottom w:val="0"/>
      <w:divBdr>
        <w:top w:val="none" w:sz="0" w:space="0" w:color="auto"/>
        <w:left w:val="none" w:sz="0" w:space="0" w:color="auto"/>
        <w:bottom w:val="none" w:sz="0" w:space="0" w:color="auto"/>
        <w:right w:val="none" w:sz="0" w:space="0" w:color="auto"/>
      </w:divBdr>
      <w:divsChild>
        <w:div w:id="339549021">
          <w:marLeft w:val="0"/>
          <w:marRight w:val="0"/>
          <w:marTop w:val="0"/>
          <w:marBottom w:val="0"/>
          <w:divBdr>
            <w:top w:val="none" w:sz="0" w:space="0" w:color="auto"/>
            <w:left w:val="none" w:sz="0" w:space="0" w:color="auto"/>
            <w:bottom w:val="none" w:sz="0" w:space="0" w:color="auto"/>
            <w:right w:val="none" w:sz="0" w:space="0" w:color="auto"/>
          </w:divBdr>
          <w:divsChild>
            <w:div w:id="613366625">
              <w:marLeft w:val="0"/>
              <w:marRight w:val="0"/>
              <w:marTop w:val="0"/>
              <w:marBottom w:val="0"/>
              <w:divBdr>
                <w:top w:val="none" w:sz="0" w:space="0" w:color="auto"/>
                <w:left w:val="none" w:sz="0" w:space="0" w:color="auto"/>
                <w:bottom w:val="none" w:sz="0" w:space="0" w:color="auto"/>
                <w:right w:val="none" w:sz="0" w:space="0" w:color="auto"/>
              </w:divBdr>
              <w:divsChild>
                <w:div w:id="1836995737">
                  <w:marLeft w:val="0"/>
                  <w:marRight w:val="0"/>
                  <w:marTop w:val="0"/>
                  <w:marBottom w:val="0"/>
                  <w:divBdr>
                    <w:top w:val="none" w:sz="0" w:space="0" w:color="auto"/>
                    <w:left w:val="none" w:sz="0" w:space="0" w:color="auto"/>
                    <w:bottom w:val="none" w:sz="0" w:space="0" w:color="auto"/>
                    <w:right w:val="none" w:sz="0" w:space="0" w:color="auto"/>
                  </w:divBdr>
                  <w:divsChild>
                    <w:div w:id="8743498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69912774">
          <w:marLeft w:val="0"/>
          <w:marRight w:val="0"/>
          <w:marTop w:val="525"/>
          <w:marBottom w:val="0"/>
          <w:divBdr>
            <w:top w:val="none" w:sz="0" w:space="0" w:color="auto"/>
            <w:left w:val="none" w:sz="0" w:space="0" w:color="auto"/>
            <w:bottom w:val="none" w:sz="0" w:space="0" w:color="auto"/>
            <w:right w:val="none" w:sz="0" w:space="0" w:color="auto"/>
          </w:divBdr>
          <w:divsChild>
            <w:div w:id="2021731930">
              <w:marLeft w:val="0"/>
              <w:marRight w:val="0"/>
              <w:marTop w:val="0"/>
              <w:marBottom w:val="0"/>
              <w:divBdr>
                <w:top w:val="none" w:sz="0" w:space="0" w:color="auto"/>
                <w:left w:val="none" w:sz="0" w:space="0" w:color="auto"/>
                <w:bottom w:val="none" w:sz="0" w:space="0" w:color="auto"/>
                <w:right w:val="none" w:sz="0" w:space="0" w:color="auto"/>
              </w:divBdr>
              <w:divsChild>
                <w:div w:id="109493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104721">
      <w:bodyDiv w:val="1"/>
      <w:marLeft w:val="0"/>
      <w:marRight w:val="0"/>
      <w:marTop w:val="0"/>
      <w:marBottom w:val="0"/>
      <w:divBdr>
        <w:top w:val="none" w:sz="0" w:space="0" w:color="auto"/>
        <w:left w:val="none" w:sz="0" w:space="0" w:color="auto"/>
        <w:bottom w:val="none" w:sz="0" w:space="0" w:color="auto"/>
        <w:right w:val="none" w:sz="0" w:space="0" w:color="auto"/>
      </w:divBdr>
      <w:divsChild>
        <w:div w:id="140922892">
          <w:marLeft w:val="0"/>
          <w:marRight w:val="0"/>
          <w:marTop w:val="0"/>
          <w:marBottom w:val="0"/>
          <w:divBdr>
            <w:top w:val="none" w:sz="0" w:space="0" w:color="auto"/>
            <w:left w:val="none" w:sz="0" w:space="0" w:color="auto"/>
            <w:bottom w:val="none" w:sz="0" w:space="0" w:color="auto"/>
            <w:right w:val="none" w:sz="0" w:space="0" w:color="auto"/>
          </w:divBdr>
          <w:divsChild>
            <w:div w:id="1955550044">
              <w:marLeft w:val="0"/>
              <w:marRight w:val="0"/>
              <w:marTop w:val="0"/>
              <w:marBottom w:val="0"/>
              <w:divBdr>
                <w:top w:val="none" w:sz="0" w:space="0" w:color="auto"/>
                <w:left w:val="none" w:sz="0" w:space="0" w:color="auto"/>
                <w:bottom w:val="none" w:sz="0" w:space="0" w:color="auto"/>
                <w:right w:val="none" w:sz="0" w:space="0" w:color="auto"/>
              </w:divBdr>
              <w:divsChild>
                <w:div w:id="49048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3277">
          <w:marLeft w:val="0"/>
          <w:marRight w:val="0"/>
          <w:marTop w:val="525"/>
          <w:marBottom w:val="0"/>
          <w:divBdr>
            <w:top w:val="none" w:sz="0" w:space="0" w:color="auto"/>
            <w:left w:val="none" w:sz="0" w:space="0" w:color="auto"/>
            <w:bottom w:val="none" w:sz="0" w:space="0" w:color="auto"/>
            <w:right w:val="none" w:sz="0" w:space="0" w:color="auto"/>
          </w:divBdr>
          <w:divsChild>
            <w:div w:id="914247232">
              <w:marLeft w:val="0"/>
              <w:marRight w:val="0"/>
              <w:marTop w:val="0"/>
              <w:marBottom w:val="0"/>
              <w:divBdr>
                <w:top w:val="none" w:sz="0" w:space="0" w:color="auto"/>
                <w:left w:val="none" w:sz="0" w:space="0" w:color="auto"/>
                <w:bottom w:val="none" w:sz="0" w:space="0" w:color="auto"/>
                <w:right w:val="none" w:sz="0" w:space="0" w:color="auto"/>
              </w:divBdr>
              <w:divsChild>
                <w:div w:id="2048527189">
                  <w:marLeft w:val="0"/>
                  <w:marRight w:val="0"/>
                  <w:marTop w:val="0"/>
                  <w:marBottom w:val="0"/>
                  <w:divBdr>
                    <w:top w:val="none" w:sz="0" w:space="0" w:color="auto"/>
                    <w:left w:val="none" w:sz="0" w:space="0" w:color="auto"/>
                    <w:bottom w:val="none" w:sz="0" w:space="0" w:color="auto"/>
                    <w:right w:val="none" w:sz="0" w:space="0" w:color="auto"/>
                  </w:divBdr>
                  <w:divsChild>
                    <w:div w:id="1342271883">
                      <w:marLeft w:val="0"/>
                      <w:marRight w:val="0"/>
                      <w:marTop w:val="0"/>
                      <w:marBottom w:val="0"/>
                      <w:divBdr>
                        <w:top w:val="none" w:sz="0" w:space="0" w:color="auto"/>
                        <w:left w:val="none" w:sz="0" w:space="0" w:color="auto"/>
                        <w:bottom w:val="none" w:sz="0" w:space="0" w:color="auto"/>
                        <w:right w:val="none" w:sz="0" w:space="0" w:color="auto"/>
                      </w:divBdr>
                      <w:divsChild>
                        <w:div w:id="4495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2264244">
      <w:bodyDiv w:val="1"/>
      <w:marLeft w:val="0"/>
      <w:marRight w:val="0"/>
      <w:marTop w:val="0"/>
      <w:marBottom w:val="0"/>
      <w:divBdr>
        <w:top w:val="none" w:sz="0" w:space="0" w:color="auto"/>
        <w:left w:val="none" w:sz="0" w:space="0" w:color="auto"/>
        <w:bottom w:val="none" w:sz="0" w:space="0" w:color="auto"/>
        <w:right w:val="none" w:sz="0" w:space="0" w:color="auto"/>
      </w:divBdr>
      <w:divsChild>
        <w:div w:id="1874995750">
          <w:marLeft w:val="0"/>
          <w:marRight w:val="0"/>
          <w:marTop w:val="0"/>
          <w:marBottom w:val="0"/>
          <w:divBdr>
            <w:top w:val="none" w:sz="0" w:space="0" w:color="auto"/>
            <w:left w:val="none" w:sz="0" w:space="0" w:color="auto"/>
            <w:bottom w:val="none" w:sz="0" w:space="0" w:color="auto"/>
            <w:right w:val="none" w:sz="0" w:space="0" w:color="auto"/>
          </w:divBdr>
          <w:divsChild>
            <w:div w:id="1820801258">
              <w:marLeft w:val="0"/>
              <w:marRight w:val="0"/>
              <w:marTop w:val="0"/>
              <w:marBottom w:val="0"/>
              <w:divBdr>
                <w:top w:val="none" w:sz="0" w:space="0" w:color="auto"/>
                <w:left w:val="none" w:sz="0" w:space="0" w:color="auto"/>
                <w:bottom w:val="none" w:sz="0" w:space="0" w:color="auto"/>
                <w:right w:val="none" w:sz="0" w:space="0" w:color="auto"/>
              </w:divBdr>
              <w:divsChild>
                <w:div w:id="1615551183">
                  <w:marLeft w:val="0"/>
                  <w:marRight w:val="0"/>
                  <w:marTop w:val="0"/>
                  <w:marBottom w:val="0"/>
                  <w:divBdr>
                    <w:top w:val="none" w:sz="0" w:space="0" w:color="auto"/>
                    <w:left w:val="none" w:sz="0" w:space="0" w:color="auto"/>
                    <w:bottom w:val="none" w:sz="0" w:space="0" w:color="auto"/>
                    <w:right w:val="none" w:sz="0" w:space="0" w:color="auto"/>
                  </w:divBdr>
                  <w:divsChild>
                    <w:div w:id="74849935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62805024">
          <w:marLeft w:val="0"/>
          <w:marRight w:val="0"/>
          <w:marTop w:val="525"/>
          <w:marBottom w:val="0"/>
          <w:divBdr>
            <w:top w:val="none" w:sz="0" w:space="0" w:color="auto"/>
            <w:left w:val="none" w:sz="0" w:space="0" w:color="auto"/>
            <w:bottom w:val="none" w:sz="0" w:space="0" w:color="auto"/>
            <w:right w:val="none" w:sz="0" w:space="0" w:color="auto"/>
          </w:divBdr>
          <w:divsChild>
            <w:div w:id="1717656387">
              <w:marLeft w:val="0"/>
              <w:marRight w:val="0"/>
              <w:marTop w:val="0"/>
              <w:marBottom w:val="0"/>
              <w:divBdr>
                <w:top w:val="none" w:sz="0" w:space="0" w:color="auto"/>
                <w:left w:val="none" w:sz="0" w:space="0" w:color="auto"/>
                <w:bottom w:val="none" w:sz="0" w:space="0" w:color="auto"/>
                <w:right w:val="none" w:sz="0" w:space="0" w:color="auto"/>
              </w:divBdr>
              <w:divsChild>
                <w:div w:id="1598095910">
                  <w:marLeft w:val="0"/>
                  <w:marRight w:val="0"/>
                  <w:marTop w:val="0"/>
                  <w:marBottom w:val="0"/>
                  <w:divBdr>
                    <w:top w:val="none" w:sz="0" w:space="0" w:color="auto"/>
                    <w:left w:val="none" w:sz="0" w:space="0" w:color="auto"/>
                    <w:bottom w:val="none" w:sz="0" w:space="0" w:color="auto"/>
                    <w:right w:val="none" w:sz="0" w:space="0" w:color="auto"/>
                  </w:divBdr>
                  <w:divsChild>
                    <w:div w:id="362904734">
                      <w:marLeft w:val="0"/>
                      <w:marRight w:val="0"/>
                      <w:marTop w:val="0"/>
                      <w:marBottom w:val="0"/>
                      <w:divBdr>
                        <w:top w:val="none" w:sz="0" w:space="0" w:color="auto"/>
                        <w:left w:val="none" w:sz="0" w:space="0" w:color="auto"/>
                        <w:bottom w:val="none" w:sz="0" w:space="0" w:color="auto"/>
                        <w:right w:val="none" w:sz="0" w:space="0" w:color="auto"/>
                      </w:divBdr>
                      <w:divsChild>
                        <w:div w:id="8063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7892330">
      <w:bodyDiv w:val="1"/>
      <w:marLeft w:val="0"/>
      <w:marRight w:val="0"/>
      <w:marTop w:val="0"/>
      <w:marBottom w:val="0"/>
      <w:divBdr>
        <w:top w:val="none" w:sz="0" w:space="0" w:color="auto"/>
        <w:left w:val="none" w:sz="0" w:space="0" w:color="auto"/>
        <w:bottom w:val="none" w:sz="0" w:space="0" w:color="auto"/>
        <w:right w:val="none" w:sz="0" w:space="0" w:color="auto"/>
      </w:divBdr>
    </w:div>
    <w:div w:id="535236048">
      <w:bodyDiv w:val="1"/>
      <w:marLeft w:val="0"/>
      <w:marRight w:val="0"/>
      <w:marTop w:val="0"/>
      <w:marBottom w:val="0"/>
      <w:divBdr>
        <w:top w:val="none" w:sz="0" w:space="0" w:color="auto"/>
        <w:left w:val="none" w:sz="0" w:space="0" w:color="auto"/>
        <w:bottom w:val="none" w:sz="0" w:space="0" w:color="auto"/>
        <w:right w:val="none" w:sz="0" w:space="0" w:color="auto"/>
      </w:divBdr>
    </w:div>
    <w:div w:id="547184975">
      <w:bodyDiv w:val="1"/>
      <w:marLeft w:val="0"/>
      <w:marRight w:val="0"/>
      <w:marTop w:val="0"/>
      <w:marBottom w:val="0"/>
      <w:divBdr>
        <w:top w:val="none" w:sz="0" w:space="0" w:color="auto"/>
        <w:left w:val="none" w:sz="0" w:space="0" w:color="auto"/>
        <w:bottom w:val="none" w:sz="0" w:space="0" w:color="auto"/>
        <w:right w:val="none" w:sz="0" w:space="0" w:color="auto"/>
      </w:divBdr>
      <w:divsChild>
        <w:div w:id="24720133">
          <w:marLeft w:val="0"/>
          <w:marRight w:val="0"/>
          <w:marTop w:val="0"/>
          <w:marBottom w:val="0"/>
          <w:divBdr>
            <w:top w:val="none" w:sz="0" w:space="0" w:color="auto"/>
            <w:left w:val="none" w:sz="0" w:space="0" w:color="auto"/>
            <w:bottom w:val="none" w:sz="0" w:space="0" w:color="auto"/>
            <w:right w:val="none" w:sz="0" w:space="0" w:color="auto"/>
          </w:divBdr>
          <w:divsChild>
            <w:div w:id="111752419">
              <w:marLeft w:val="0"/>
              <w:marRight w:val="0"/>
              <w:marTop w:val="0"/>
              <w:marBottom w:val="0"/>
              <w:divBdr>
                <w:top w:val="none" w:sz="0" w:space="0" w:color="auto"/>
                <w:left w:val="none" w:sz="0" w:space="0" w:color="auto"/>
                <w:bottom w:val="none" w:sz="0" w:space="0" w:color="auto"/>
                <w:right w:val="none" w:sz="0" w:space="0" w:color="auto"/>
              </w:divBdr>
              <w:divsChild>
                <w:div w:id="75748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136189">
          <w:marLeft w:val="0"/>
          <w:marRight w:val="0"/>
          <w:marTop w:val="525"/>
          <w:marBottom w:val="0"/>
          <w:divBdr>
            <w:top w:val="none" w:sz="0" w:space="0" w:color="auto"/>
            <w:left w:val="none" w:sz="0" w:space="0" w:color="auto"/>
            <w:bottom w:val="none" w:sz="0" w:space="0" w:color="auto"/>
            <w:right w:val="none" w:sz="0" w:space="0" w:color="auto"/>
          </w:divBdr>
          <w:divsChild>
            <w:div w:id="1082993975">
              <w:marLeft w:val="0"/>
              <w:marRight w:val="0"/>
              <w:marTop w:val="0"/>
              <w:marBottom w:val="0"/>
              <w:divBdr>
                <w:top w:val="none" w:sz="0" w:space="0" w:color="auto"/>
                <w:left w:val="none" w:sz="0" w:space="0" w:color="auto"/>
                <w:bottom w:val="none" w:sz="0" w:space="0" w:color="auto"/>
                <w:right w:val="none" w:sz="0" w:space="0" w:color="auto"/>
              </w:divBdr>
              <w:divsChild>
                <w:div w:id="767578316">
                  <w:marLeft w:val="0"/>
                  <w:marRight w:val="0"/>
                  <w:marTop w:val="0"/>
                  <w:marBottom w:val="0"/>
                  <w:divBdr>
                    <w:top w:val="none" w:sz="0" w:space="0" w:color="auto"/>
                    <w:left w:val="none" w:sz="0" w:space="0" w:color="auto"/>
                    <w:bottom w:val="none" w:sz="0" w:space="0" w:color="auto"/>
                    <w:right w:val="none" w:sz="0" w:space="0" w:color="auto"/>
                  </w:divBdr>
                  <w:divsChild>
                    <w:div w:id="1119647356">
                      <w:marLeft w:val="0"/>
                      <w:marRight w:val="0"/>
                      <w:marTop w:val="0"/>
                      <w:marBottom w:val="0"/>
                      <w:divBdr>
                        <w:top w:val="none" w:sz="0" w:space="0" w:color="auto"/>
                        <w:left w:val="none" w:sz="0" w:space="0" w:color="auto"/>
                        <w:bottom w:val="none" w:sz="0" w:space="0" w:color="auto"/>
                        <w:right w:val="none" w:sz="0" w:space="0" w:color="auto"/>
                      </w:divBdr>
                      <w:divsChild>
                        <w:div w:id="205816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0577214">
      <w:bodyDiv w:val="1"/>
      <w:marLeft w:val="0"/>
      <w:marRight w:val="0"/>
      <w:marTop w:val="0"/>
      <w:marBottom w:val="0"/>
      <w:divBdr>
        <w:top w:val="none" w:sz="0" w:space="0" w:color="auto"/>
        <w:left w:val="none" w:sz="0" w:space="0" w:color="auto"/>
        <w:bottom w:val="none" w:sz="0" w:space="0" w:color="auto"/>
        <w:right w:val="none" w:sz="0" w:space="0" w:color="auto"/>
      </w:divBdr>
      <w:divsChild>
        <w:div w:id="781847395">
          <w:marLeft w:val="0"/>
          <w:marRight w:val="0"/>
          <w:marTop w:val="0"/>
          <w:marBottom w:val="0"/>
          <w:divBdr>
            <w:top w:val="none" w:sz="0" w:space="0" w:color="auto"/>
            <w:left w:val="none" w:sz="0" w:space="0" w:color="auto"/>
            <w:bottom w:val="none" w:sz="0" w:space="0" w:color="auto"/>
            <w:right w:val="none" w:sz="0" w:space="0" w:color="auto"/>
          </w:divBdr>
          <w:divsChild>
            <w:div w:id="559823997">
              <w:marLeft w:val="0"/>
              <w:marRight w:val="0"/>
              <w:marTop w:val="0"/>
              <w:marBottom w:val="0"/>
              <w:divBdr>
                <w:top w:val="none" w:sz="0" w:space="0" w:color="auto"/>
                <w:left w:val="none" w:sz="0" w:space="0" w:color="auto"/>
                <w:bottom w:val="none" w:sz="0" w:space="0" w:color="auto"/>
                <w:right w:val="none" w:sz="0" w:space="0" w:color="auto"/>
              </w:divBdr>
              <w:divsChild>
                <w:div w:id="1791315093">
                  <w:marLeft w:val="0"/>
                  <w:marRight w:val="0"/>
                  <w:marTop w:val="0"/>
                  <w:marBottom w:val="0"/>
                  <w:divBdr>
                    <w:top w:val="none" w:sz="0" w:space="0" w:color="auto"/>
                    <w:left w:val="none" w:sz="0" w:space="0" w:color="auto"/>
                    <w:bottom w:val="none" w:sz="0" w:space="0" w:color="auto"/>
                    <w:right w:val="none" w:sz="0" w:space="0" w:color="auto"/>
                  </w:divBdr>
                  <w:divsChild>
                    <w:div w:id="19992678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9513882">
          <w:marLeft w:val="0"/>
          <w:marRight w:val="0"/>
          <w:marTop w:val="525"/>
          <w:marBottom w:val="0"/>
          <w:divBdr>
            <w:top w:val="none" w:sz="0" w:space="0" w:color="auto"/>
            <w:left w:val="none" w:sz="0" w:space="0" w:color="auto"/>
            <w:bottom w:val="none" w:sz="0" w:space="0" w:color="auto"/>
            <w:right w:val="none" w:sz="0" w:space="0" w:color="auto"/>
          </w:divBdr>
          <w:divsChild>
            <w:div w:id="930697864">
              <w:marLeft w:val="0"/>
              <w:marRight w:val="0"/>
              <w:marTop w:val="0"/>
              <w:marBottom w:val="0"/>
              <w:divBdr>
                <w:top w:val="none" w:sz="0" w:space="0" w:color="auto"/>
                <w:left w:val="none" w:sz="0" w:space="0" w:color="auto"/>
                <w:bottom w:val="none" w:sz="0" w:space="0" w:color="auto"/>
                <w:right w:val="none" w:sz="0" w:space="0" w:color="auto"/>
              </w:divBdr>
              <w:divsChild>
                <w:div w:id="117349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879413">
      <w:bodyDiv w:val="1"/>
      <w:marLeft w:val="0"/>
      <w:marRight w:val="0"/>
      <w:marTop w:val="0"/>
      <w:marBottom w:val="0"/>
      <w:divBdr>
        <w:top w:val="none" w:sz="0" w:space="0" w:color="auto"/>
        <w:left w:val="none" w:sz="0" w:space="0" w:color="auto"/>
        <w:bottom w:val="none" w:sz="0" w:space="0" w:color="auto"/>
        <w:right w:val="none" w:sz="0" w:space="0" w:color="auto"/>
      </w:divBdr>
    </w:div>
    <w:div w:id="861283276">
      <w:bodyDiv w:val="1"/>
      <w:marLeft w:val="0"/>
      <w:marRight w:val="0"/>
      <w:marTop w:val="0"/>
      <w:marBottom w:val="0"/>
      <w:divBdr>
        <w:top w:val="none" w:sz="0" w:space="0" w:color="auto"/>
        <w:left w:val="none" w:sz="0" w:space="0" w:color="auto"/>
        <w:bottom w:val="none" w:sz="0" w:space="0" w:color="auto"/>
        <w:right w:val="none" w:sz="0" w:space="0" w:color="auto"/>
      </w:divBdr>
    </w:div>
    <w:div w:id="1000087676">
      <w:bodyDiv w:val="1"/>
      <w:marLeft w:val="0"/>
      <w:marRight w:val="0"/>
      <w:marTop w:val="0"/>
      <w:marBottom w:val="0"/>
      <w:divBdr>
        <w:top w:val="none" w:sz="0" w:space="0" w:color="auto"/>
        <w:left w:val="none" w:sz="0" w:space="0" w:color="auto"/>
        <w:bottom w:val="none" w:sz="0" w:space="0" w:color="auto"/>
        <w:right w:val="none" w:sz="0" w:space="0" w:color="auto"/>
      </w:divBdr>
      <w:divsChild>
        <w:div w:id="567227952">
          <w:marLeft w:val="0"/>
          <w:marRight w:val="0"/>
          <w:marTop w:val="0"/>
          <w:marBottom w:val="0"/>
          <w:divBdr>
            <w:top w:val="none" w:sz="0" w:space="0" w:color="auto"/>
            <w:left w:val="none" w:sz="0" w:space="0" w:color="auto"/>
            <w:bottom w:val="none" w:sz="0" w:space="0" w:color="auto"/>
            <w:right w:val="none" w:sz="0" w:space="0" w:color="auto"/>
          </w:divBdr>
        </w:div>
      </w:divsChild>
    </w:div>
    <w:div w:id="1008170080">
      <w:bodyDiv w:val="1"/>
      <w:marLeft w:val="0"/>
      <w:marRight w:val="0"/>
      <w:marTop w:val="0"/>
      <w:marBottom w:val="0"/>
      <w:divBdr>
        <w:top w:val="none" w:sz="0" w:space="0" w:color="auto"/>
        <w:left w:val="none" w:sz="0" w:space="0" w:color="auto"/>
        <w:bottom w:val="none" w:sz="0" w:space="0" w:color="auto"/>
        <w:right w:val="none" w:sz="0" w:space="0" w:color="auto"/>
      </w:divBdr>
      <w:divsChild>
        <w:div w:id="1115636070">
          <w:marLeft w:val="0"/>
          <w:marRight w:val="0"/>
          <w:marTop w:val="0"/>
          <w:marBottom w:val="0"/>
          <w:divBdr>
            <w:top w:val="none" w:sz="0" w:space="0" w:color="auto"/>
            <w:left w:val="none" w:sz="0" w:space="0" w:color="auto"/>
            <w:bottom w:val="none" w:sz="0" w:space="0" w:color="auto"/>
            <w:right w:val="none" w:sz="0" w:space="0" w:color="auto"/>
          </w:divBdr>
          <w:divsChild>
            <w:div w:id="342557471">
              <w:marLeft w:val="0"/>
              <w:marRight w:val="0"/>
              <w:marTop w:val="0"/>
              <w:marBottom w:val="0"/>
              <w:divBdr>
                <w:top w:val="none" w:sz="0" w:space="0" w:color="auto"/>
                <w:left w:val="none" w:sz="0" w:space="0" w:color="auto"/>
                <w:bottom w:val="none" w:sz="0" w:space="0" w:color="auto"/>
                <w:right w:val="none" w:sz="0" w:space="0" w:color="auto"/>
              </w:divBdr>
              <w:divsChild>
                <w:div w:id="508787367">
                  <w:marLeft w:val="0"/>
                  <w:marRight w:val="0"/>
                  <w:marTop w:val="0"/>
                  <w:marBottom w:val="0"/>
                  <w:divBdr>
                    <w:top w:val="none" w:sz="0" w:space="0" w:color="auto"/>
                    <w:left w:val="none" w:sz="0" w:space="0" w:color="auto"/>
                    <w:bottom w:val="none" w:sz="0" w:space="0" w:color="auto"/>
                    <w:right w:val="none" w:sz="0" w:space="0" w:color="auto"/>
                  </w:divBdr>
                  <w:divsChild>
                    <w:div w:id="24492230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58098472">
          <w:marLeft w:val="0"/>
          <w:marRight w:val="0"/>
          <w:marTop w:val="525"/>
          <w:marBottom w:val="0"/>
          <w:divBdr>
            <w:top w:val="none" w:sz="0" w:space="0" w:color="auto"/>
            <w:left w:val="none" w:sz="0" w:space="0" w:color="auto"/>
            <w:bottom w:val="none" w:sz="0" w:space="0" w:color="auto"/>
            <w:right w:val="none" w:sz="0" w:space="0" w:color="auto"/>
          </w:divBdr>
          <w:divsChild>
            <w:div w:id="709720332">
              <w:marLeft w:val="0"/>
              <w:marRight w:val="0"/>
              <w:marTop w:val="0"/>
              <w:marBottom w:val="0"/>
              <w:divBdr>
                <w:top w:val="none" w:sz="0" w:space="0" w:color="auto"/>
                <w:left w:val="none" w:sz="0" w:space="0" w:color="auto"/>
                <w:bottom w:val="none" w:sz="0" w:space="0" w:color="auto"/>
                <w:right w:val="none" w:sz="0" w:space="0" w:color="auto"/>
              </w:divBdr>
              <w:divsChild>
                <w:div w:id="212595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507001">
      <w:bodyDiv w:val="1"/>
      <w:marLeft w:val="0"/>
      <w:marRight w:val="0"/>
      <w:marTop w:val="0"/>
      <w:marBottom w:val="0"/>
      <w:divBdr>
        <w:top w:val="none" w:sz="0" w:space="0" w:color="auto"/>
        <w:left w:val="none" w:sz="0" w:space="0" w:color="auto"/>
        <w:bottom w:val="none" w:sz="0" w:space="0" w:color="auto"/>
        <w:right w:val="none" w:sz="0" w:space="0" w:color="auto"/>
      </w:divBdr>
      <w:divsChild>
        <w:div w:id="924996180">
          <w:marLeft w:val="0"/>
          <w:marRight w:val="0"/>
          <w:marTop w:val="0"/>
          <w:marBottom w:val="0"/>
          <w:divBdr>
            <w:top w:val="none" w:sz="0" w:space="0" w:color="auto"/>
            <w:left w:val="none" w:sz="0" w:space="0" w:color="auto"/>
            <w:bottom w:val="none" w:sz="0" w:space="0" w:color="auto"/>
            <w:right w:val="none" w:sz="0" w:space="0" w:color="auto"/>
          </w:divBdr>
          <w:divsChild>
            <w:div w:id="1012226062">
              <w:marLeft w:val="0"/>
              <w:marRight w:val="0"/>
              <w:marTop w:val="0"/>
              <w:marBottom w:val="0"/>
              <w:divBdr>
                <w:top w:val="none" w:sz="0" w:space="0" w:color="auto"/>
                <w:left w:val="none" w:sz="0" w:space="0" w:color="auto"/>
                <w:bottom w:val="none" w:sz="0" w:space="0" w:color="auto"/>
                <w:right w:val="none" w:sz="0" w:space="0" w:color="auto"/>
              </w:divBdr>
              <w:divsChild>
                <w:div w:id="1518352359">
                  <w:marLeft w:val="0"/>
                  <w:marRight w:val="0"/>
                  <w:marTop w:val="0"/>
                  <w:marBottom w:val="0"/>
                  <w:divBdr>
                    <w:top w:val="none" w:sz="0" w:space="0" w:color="auto"/>
                    <w:left w:val="none" w:sz="0" w:space="0" w:color="auto"/>
                    <w:bottom w:val="none" w:sz="0" w:space="0" w:color="auto"/>
                    <w:right w:val="none" w:sz="0" w:space="0" w:color="auto"/>
                  </w:divBdr>
                  <w:divsChild>
                    <w:div w:id="879639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136554845">
          <w:marLeft w:val="0"/>
          <w:marRight w:val="0"/>
          <w:marTop w:val="525"/>
          <w:marBottom w:val="0"/>
          <w:divBdr>
            <w:top w:val="none" w:sz="0" w:space="0" w:color="auto"/>
            <w:left w:val="none" w:sz="0" w:space="0" w:color="auto"/>
            <w:bottom w:val="none" w:sz="0" w:space="0" w:color="auto"/>
            <w:right w:val="none" w:sz="0" w:space="0" w:color="auto"/>
          </w:divBdr>
          <w:divsChild>
            <w:div w:id="1355961720">
              <w:marLeft w:val="0"/>
              <w:marRight w:val="0"/>
              <w:marTop w:val="0"/>
              <w:marBottom w:val="0"/>
              <w:divBdr>
                <w:top w:val="none" w:sz="0" w:space="0" w:color="auto"/>
                <w:left w:val="none" w:sz="0" w:space="0" w:color="auto"/>
                <w:bottom w:val="none" w:sz="0" w:space="0" w:color="auto"/>
                <w:right w:val="none" w:sz="0" w:space="0" w:color="auto"/>
              </w:divBdr>
              <w:divsChild>
                <w:div w:id="21184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857300">
      <w:bodyDiv w:val="1"/>
      <w:marLeft w:val="0"/>
      <w:marRight w:val="0"/>
      <w:marTop w:val="0"/>
      <w:marBottom w:val="0"/>
      <w:divBdr>
        <w:top w:val="none" w:sz="0" w:space="0" w:color="auto"/>
        <w:left w:val="none" w:sz="0" w:space="0" w:color="auto"/>
        <w:bottom w:val="none" w:sz="0" w:space="0" w:color="auto"/>
        <w:right w:val="none" w:sz="0" w:space="0" w:color="auto"/>
      </w:divBdr>
    </w:div>
    <w:div w:id="1048605598">
      <w:bodyDiv w:val="1"/>
      <w:marLeft w:val="0"/>
      <w:marRight w:val="0"/>
      <w:marTop w:val="0"/>
      <w:marBottom w:val="0"/>
      <w:divBdr>
        <w:top w:val="none" w:sz="0" w:space="0" w:color="auto"/>
        <w:left w:val="none" w:sz="0" w:space="0" w:color="auto"/>
        <w:bottom w:val="none" w:sz="0" w:space="0" w:color="auto"/>
        <w:right w:val="none" w:sz="0" w:space="0" w:color="auto"/>
      </w:divBdr>
      <w:divsChild>
        <w:div w:id="971863295">
          <w:marLeft w:val="0"/>
          <w:marRight w:val="0"/>
          <w:marTop w:val="0"/>
          <w:marBottom w:val="0"/>
          <w:divBdr>
            <w:top w:val="none" w:sz="0" w:space="0" w:color="auto"/>
            <w:left w:val="none" w:sz="0" w:space="0" w:color="auto"/>
            <w:bottom w:val="none" w:sz="0" w:space="0" w:color="auto"/>
            <w:right w:val="none" w:sz="0" w:space="0" w:color="auto"/>
          </w:divBdr>
          <w:divsChild>
            <w:div w:id="1413164383">
              <w:marLeft w:val="0"/>
              <w:marRight w:val="0"/>
              <w:marTop w:val="0"/>
              <w:marBottom w:val="0"/>
              <w:divBdr>
                <w:top w:val="none" w:sz="0" w:space="0" w:color="auto"/>
                <w:left w:val="none" w:sz="0" w:space="0" w:color="auto"/>
                <w:bottom w:val="none" w:sz="0" w:space="0" w:color="auto"/>
                <w:right w:val="none" w:sz="0" w:space="0" w:color="auto"/>
              </w:divBdr>
              <w:divsChild>
                <w:div w:id="820586961">
                  <w:marLeft w:val="0"/>
                  <w:marRight w:val="0"/>
                  <w:marTop w:val="0"/>
                  <w:marBottom w:val="0"/>
                  <w:divBdr>
                    <w:top w:val="none" w:sz="0" w:space="0" w:color="auto"/>
                    <w:left w:val="none" w:sz="0" w:space="0" w:color="auto"/>
                    <w:bottom w:val="none" w:sz="0" w:space="0" w:color="auto"/>
                    <w:right w:val="none" w:sz="0" w:space="0" w:color="auto"/>
                  </w:divBdr>
                  <w:divsChild>
                    <w:div w:id="101923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757069">
          <w:marLeft w:val="0"/>
          <w:marRight w:val="0"/>
          <w:marTop w:val="525"/>
          <w:marBottom w:val="0"/>
          <w:divBdr>
            <w:top w:val="none" w:sz="0" w:space="0" w:color="auto"/>
            <w:left w:val="none" w:sz="0" w:space="0" w:color="auto"/>
            <w:bottom w:val="none" w:sz="0" w:space="0" w:color="auto"/>
            <w:right w:val="none" w:sz="0" w:space="0" w:color="auto"/>
          </w:divBdr>
          <w:divsChild>
            <w:div w:id="780951825">
              <w:marLeft w:val="0"/>
              <w:marRight w:val="0"/>
              <w:marTop w:val="0"/>
              <w:marBottom w:val="0"/>
              <w:divBdr>
                <w:top w:val="none" w:sz="0" w:space="0" w:color="auto"/>
                <w:left w:val="none" w:sz="0" w:space="0" w:color="auto"/>
                <w:bottom w:val="none" w:sz="0" w:space="0" w:color="auto"/>
                <w:right w:val="none" w:sz="0" w:space="0" w:color="auto"/>
              </w:divBdr>
              <w:divsChild>
                <w:div w:id="26084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140146">
      <w:bodyDiv w:val="1"/>
      <w:marLeft w:val="0"/>
      <w:marRight w:val="0"/>
      <w:marTop w:val="0"/>
      <w:marBottom w:val="0"/>
      <w:divBdr>
        <w:top w:val="none" w:sz="0" w:space="0" w:color="auto"/>
        <w:left w:val="none" w:sz="0" w:space="0" w:color="auto"/>
        <w:bottom w:val="none" w:sz="0" w:space="0" w:color="auto"/>
        <w:right w:val="none" w:sz="0" w:space="0" w:color="auto"/>
      </w:divBdr>
      <w:divsChild>
        <w:div w:id="2091584138">
          <w:marLeft w:val="0"/>
          <w:marRight w:val="0"/>
          <w:marTop w:val="0"/>
          <w:marBottom w:val="0"/>
          <w:divBdr>
            <w:top w:val="none" w:sz="0" w:space="0" w:color="auto"/>
            <w:left w:val="none" w:sz="0" w:space="0" w:color="auto"/>
            <w:bottom w:val="none" w:sz="0" w:space="0" w:color="auto"/>
            <w:right w:val="none" w:sz="0" w:space="0" w:color="auto"/>
          </w:divBdr>
          <w:divsChild>
            <w:div w:id="2129931400">
              <w:marLeft w:val="0"/>
              <w:marRight w:val="0"/>
              <w:marTop w:val="0"/>
              <w:marBottom w:val="0"/>
              <w:divBdr>
                <w:top w:val="none" w:sz="0" w:space="0" w:color="auto"/>
                <w:left w:val="none" w:sz="0" w:space="0" w:color="auto"/>
                <w:bottom w:val="none" w:sz="0" w:space="0" w:color="auto"/>
                <w:right w:val="none" w:sz="0" w:space="0" w:color="auto"/>
              </w:divBdr>
              <w:divsChild>
                <w:div w:id="1227911923">
                  <w:marLeft w:val="0"/>
                  <w:marRight w:val="0"/>
                  <w:marTop w:val="0"/>
                  <w:marBottom w:val="0"/>
                  <w:divBdr>
                    <w:top w:val="none" w:sz="0" w:space="0" w:color="auto"/>
                    <w:left w:val="none" w:sz="0" w:space="0" w:color="auto"/>
                    <w:bottom w:val="none" w:sz="0" w:space="0" w:color="auto"/>
                    <w:right w:val="none" w:sz="0" w:space="0" w:color="auto"/>
                  </w:divBdr>
                  <w:divsChild>
                    <w:div w:id="4246140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78824419">
          <w:marLeft w:val="0"/>
          <w:marRight w:val="0"/>
          <w:marTop w:val="525"/>
          <w:marBottom w:val="0"/>
          <w:divBdr>
            <w:top w:val="none" w:sz="0" w:space="0" w:color="auto"/>
            <w:left w:val="none" w:sz="0" w:space="0" w:color="auto"/>
            <w:bottom w:val="none" w:sz="0" w:space="0" w:color="auto"/>
            <w:right w:val="none" w:sz="0" w:space="0" w:color="auto"/>
          </w:divBdr>
          <w:divsChild>
            <w:div w:id="1842623128">
              <w:marLeft w:val="0"/>
              <w:marRight w:val="0"/>
              <w:marTop w:val="0"/>
              <w:marBottom w:val="0"/>
              <w:divBdr>
                <w:top w:val="none" w:sz="0" w:space="0" w:color="auto"/>
                <w:left w:val="none" w:sz="0" w:space="0" w:color="auto"/>
                <w:bottom w:val="none" w:sz="0" w:space="0" w:color="auto"/>
                <w:right w:val="none" w:sz="0" w:space="0" w:color="auto"/>
              </w:divBdr>
              <w:divsChild>
                <w:div w:id="145004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203992">
      <w:bodyDiv w:val="1"/>
      <w:marLeft w:val="0"/>
      <w:marRight w:val="0"/>
      <w:marTop w:val="0"/>
      <w:marBottom w:val="0"/>
      <w:divBdr>
        <w:top w:val="none" w:sz="0" w:space="0" w:color="auto"/>
        <w:left w:val="none" w:sz="0" w:space="0" w:color="auto"/>
        <w:bottom w:val="none" w:sz="0" w:space="0" w:color="auto"/>
        <w:right w:val="none" w:sz="0" w:space="0" w:color="auto"/>
      </w:divBdr>
    </w:div>
    <w:div w:id="1161851127">
      <w:bodyDiv w:val="1"/>
      <w:marLeft w:val="0"/>
      <w:marRight w:val="0"/>
      <w:marTop w:val="0"/>
      <w:marBottom w:val="0"/>
      <w:divBdr>
        <w:top w:val="none" w:sz="0" w:space="0" w:color="auto"/>
        <w:left w:val="none" w:sz="0" w:space="0" w:color="auto"/>
        <w:bottom w:val="none" w:sz="0" w:space="0" w:color="auto"/>
        <w:right w:val="none" w:sz="0" w:space="0" w:color="auto"/>
      </w:divBdr>
    </w:div>
    <w:div w:id="1271621545">
      <w:bodyDiv w:val="1"/>
      <w:marLeft w:val="0"/>
      <w:marRight w:val="0"/>
      <w:marTop w:val="0"/>
      <w:marBottom w:val="0"/>
      <w:divBdr>
        <w:top w:val="none" w:sz="0" w:space="0" w:color="auto"/>
        <w:left w:val="none" w:sz="0" w:space="0" w:color="auto"/>
        <w:bottom w:val="none" w:sz="0" w:space="0" w:color="auto"/>
        <w:right w:val="none" w:sz="0" w:space="0" w:color="auto"/>
      </w:divBdr>
      <w:divsChild>
        <w:div w:id="1694109362">
          <w:marLeft w:val="0"/>
          <w:marRight w:val="0"/>
          <w:marTop w:val="0"/>
          <w:marBottom w:val="0"/>
          <w:divBdr>
            <w:top w:val="none" w:sz="0" w:space="0" w:color="auto"/>
            <w:left w:val="none" w:sz="0" w:space="0" w:color="auto"/>
            <w:bottom w:val="none" w:sz="0" w:space="0" w:color="auto"/>
            <w:right w:val="none" w:sz="0" w:space="0" w:color="auto"/>
          </w:divBdr>
          <w:divsChild>
            <w:div w:id="1592422874">
              <w:marLeft w:val="0"/>
              <w:marRight w:val="0"/>
              <w:marTop w:val="0"/>
              <w:marBottom w:val="0"/>
              <w:divBdr>
                <w:top w:val="none" w:sz="0" w:space="0" w:color="auto"/>
                <w:left w:val="none" w:sz="0" w:space="0" w:color="auto"/>
                <w:bottom w:val="none" w:sz="0" w:space="0" w:color="auto"/>
                <w:right w:val="none" w:sz="0" w:space="0" w:color="auto"/>
              </w:divBdr>
              <w:divsChild>
                <w:div w:id="1926108994">
                  <w:marLeft w:val="0"/>
                  <w:marRight w:val="0"/>
                  <w:marTop w:val="0"/>
                  <w:marBottom w:val="0"/>
                  <w:divBdr>
                    <w:top w:val="none" w:sz="0" w:space="0" w:color="auto"/>
                    <w:left w:val="none" w:sz="0" w:space="0" w:color="auto"/>
                    <w:bottom w:val="none" w:sz="0" w:space="0" w:color="auto"/>
                    <w:right w:val="none" w:sz="0" w:space="0" w:color="auto"/>
                  </w:divBdr>
                  <w:divsChild>
                    <w:div w:id="10681164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40694735">
          <w:marLeft w:val="0"/>
          <w:marRight w:val="0"/>
          <w:marTop w:val="525"/>
          <w:marBottom w:val="0"/>
          <w:divBdr>
            <w:top w:val="none" w:sz="0" w:space="0" w:color="auto"/>
            <w:left w:val="none" w:sz="0" w:space="0" w:color="auto"/>
            <w:bottom w:val="none" w:sz="0" w:space="0" w:color="auto"/>
            <w:right w:val="none" w:sz="0" w:space="0" w:color="auto"/>
          </w:divBdr>
          <w:divsChild>
            <w:div w:id="322394813">
              <w:marLeft w:val="0"/>
              <w:marRight w:val="0"/>
              <w:marTop w:val="0"/>
              <w:marBottom w:val="0"/>
              <w:divBdr>
                <w:top w:val="none" w:sz="0" w:space="0" w:color="auto"/>
                <w:left w:val="none" w:sz="0" w:space="0" w:color="auto"/>
                <w:bottom w:val="none" w:sz="0" w:space="0" w:color="auto"/>
                <w:right w:val="none" w:sz="0" w:space="0" w:color="auto"/>
              </w:divBdr>
              <w:divsChild>
                <w:div w:id="629868171">
                  <w:marLeft w:val="0"/>
                  <w:marRight w:val="0"/>
                  <w:marTop w:val="0"/>
                  <w:marBottom w:val="0"/>
                  <w:divBdr>
                    <w:top w:val="none" w:sz="0" w:space="0" w:color="auto"/>
                    <w:left w:val="none" w:sz="0" w:space="0" w:color="auto"/>
                    <w:bottom w:val="none" w:sz="0" w:space="0" w:color="auto"/>
                    <w:right w:val="none" w:sz="0" w:space="0" w:color="auto"/>
                  </w:divBdr>
                  <w:divsChild>
                    <w:div w:id="1503856822">
                      <w:marLeft w:val="0"/>
                      <w:marRight w:val="0"/>
                      <w:marTop w:val="0"/>
                      <w:marBottom w:val="0"/>
                      <w:divBdr>
                        <w:top w:val="none" w:sz="0" w:space="0" w:color="auto"/>
                        <w:left w:val="none" w:sz="0" w:space="0" w:color="auto"/>
                        <w:bottom w:val="none" w:sz="0" w:space="0" w:color="auto"/>
                        <w:right w:val="none" w:sz="0" w:space="0" w:color="auto"/>
                      </w:divBdr>
                      <w:divsChild>
                        <w:div w:id="140083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207218">
      <w:bodyDiv w:val="1"/>
      <w:marLeft w:val="0"/>
      <w:marRight w:val="0"/>
      <w:marTop w:val="0"/>
      <w:marBottom w:val="0"/>
      <w:divBdr>
        <w:top w:val="none" w:sz="0" w:space="0" w:color="auto"/>
        <w:left w:val="none" w:sz="0" w:space="0" w:color="auto"/>
        <w:bottom w:val="none" w:sz="0" w:space="0" w:color="auto"/>
        <w:right w:val="none" w:sz="0" w:space="0" w:color="auto"/>
      </w:divBdr>
      <w:divsChild>
        <w:div w:id="1494879482">
          <w:marLeft w:val="0"/>
          <w:marRight w:val="0"/>
          <w:marTop w:val="0"/>
          <w:marBottom w:val="0"/>
          <w:divBdr>
            <w:top w:val="none" w:sz="0" w:space="0" w:color="auto"/>
            <w:left w:val="none" w:sz="0" w:space="0" w:color="auto"/>
            <w:bottom w:val="none" w:sz="0" w:space="0" w:color="auto"/>
            <w:right w:val="none" w:sz="0" w:space="0" w:color="auto"/>
          </w:divBdr>
          <w:divsChild>
            <w:div w:id="256909647">
              <w:marLeft w:val="0"/>
              <w:marRight w:val="0"/>
              <w:marTop w:val="0"/>
              <w:marBottom w:val="0"/>
              <w:divBdr>
                <w:top w:val="none" w:sz="0" w:space="0" w:color="auto"/>
                <w:left w:val="none" w:sz="0" w:space="0" w:color="auto"/>
                <w:bottom w:val="none" w:sz="0" w:space="0" w:color="auto"/>
                <w:right w:val="none" w:sz="0" w:space="0" w:color="auto"/>
              </w:divBdr>
              <w:divsChild>
                <w:div w:id="170722118">
                  <w:marLeft w:val="0"/>
                  <w:marRight w:val="0"/>
                  <w:marTop w:val="0"/>
                  <w:marBottom w:val="0"/>
                  <w:divBdr>
                    <w:top w:val="none" w:sz="0" w:space="0" w:color="auto"/>
                    <w:left w:val="none" w:sz="0" w:space="0" w:color="auto"/>
                    <w:bottom w:val="none" w:sz="0" w:space="0" w:color="auto"/>
                    <w:right w:val="none" w:sz="0" w:space="0" w:color="auto"/>
                  </w:divBdr>
                  <w:divsChild>
                    <w:div w:id="17919713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73666171">
          <w:marLeft w:val="0"/>
          <w:marRight w:val="0"/>
          <w:marTop w:val="525"/>
          <w:marBottom w:val="0"/>
          <w:divBdr>
            <w:top w:val="none" w:sz="0" w:space="0" w:color="auto"/>
            <w:left w:val="none" w:sz="0" w:space="0" w:color="auto"/>
            <w:bottom w:val="none" w:sz="0" w:space="0" w:color="auto"/>
            <w:right w:val="none" w:sz="0" w:space="0" w:color="auto"/>
          </w:divBdr>
          <w:divsChild>
            <w:div w:id="837187687">
              <w:marLeft w:val="0"/>
              <w:marRight w:val="0"/>
              <w:marTop w:val="0"/>
              <w:marBottom w:val="0"/>
              <w:divBdr>
                <w:top w:val="none" w:sz="0" w:space="0" w:color="auto"/>
                <w:left w:val="none" w:sz="0" w:space="0" w:color="auto"/>
                <w:bottom w:val="none" w:sz="0" w:space="0" w:color="auto"/>
                <w:right w:val="none" w:sz="0" w:space="0" w:color="auto"/>
              </w:divBdr>
              <w:divsChild>
                <w:div w:id="133349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381741">
      <w:bodyDiv w:val="1"/>
      <w:marLeft w:val="0"/>
      <w:marRight w:val="0"/>
      <w:marTop w:val="0"/>
      <w:marBottom w:val="0"/>
      <w:divBdr>
        <w:top w:val="none" w:sz="0" w:space="0" w:color="auto"/>
        <w:left w:val="none" w:sz="0" w:space="0" w:color="auto"/>
        <w:bottom w:val="none" w:sz="0" w:space="0" w:color="auto"/>
        <w:right w:val="none" w:sz="0" w:space="0" w:color="auto"/>
      </w:divBdr>
    </w:div>
    <w:div w:id="1389959135">
      <w:bodyDiv w:val="1"/>
      <w:marLeft w:val="0"/>
      <w:marRight w:val="0"/>
      <w:marTop w:val="0"/>
      <w:marBottom w:val="0"/>
      <w:divBdr>
        <w:top w:val="none" w:sz="0" w:space="0" w:color="auto"/>
        <w:left w:val="none" w:sz="0" w:space="0" w:color="auto"/>
        <w:bottom w:val="none" w:sz="0" w:space="0" w:color="auto"/>
        <w:right w:val="none" w:sz="0" w:space="0" w:color="auto"/>
      </w:divBdr>
      <w:divsChild>
        <w:div w:id="1464813283">
          <w:marLeft w:val="0"/>
          <w:marRight w:val="0"/>
          <w:marTop w:val="0"/>
          <w:marBottom w:val="0"/>
          <w:divBdr>
            <w:top w:val="none" w:sz="0" w:space="0" w:color="auto"/>
            <w:left w:val="none" w:sz="0" w:space="0" w:color="auto"/>
            <w:bottom w:val="none" w:sz="0" w:space="0" w:color="auto"/>
            <w:right w:val="none" w:sz="0" w:space="0" w:color="auto"/>
          </w:divBdr>
          <w:divsChild>
            <w:div w:id="1754860250">
              <w:marLeft w:val="0"/>
              <w:marRight w:val="0"/>
              <w:marTop w:val="0"/>
              <w:marBottom w:val="0"/>
              <w:divBdr>
                <w:top w:val="none" w:sz="0" w:space="0" w:color="auto"/>
                <w:left w:val="none" w:sz="0" w:space="0" w:color="auto"/>
                <w:bottom w:val="none" w:sz="0" w:space="0" w:color="auto"/>
                <w:right w:val="none" w:sz="0" w:space="0" w:color="auto"/>
              </w:divBdr>
              <w:divsChild>
                <w:div w:id="721444676">
                  <w:marLeft w:val="0"/>
                  <w:marRight w:val="0"/>
                  <w:marTop w:val="0"/>
                  <w:marBottom w:val="0"/>
                  <w:divBdr>
                    <w:top w:val="none" w:sz="0" w:space="0" w:color="auto"/>
                    <w:left w:val="none" w:sz="0" w:space="0" w:color="auto"/>
                    <w:bottom w:val="none" w:sz="0" w:space="0" w:color="auto"/>
                    <w:right w:val="none" w:sz="0" w:space="0" w:color="auto"/>
                  </w:divBdr>
                  <w:divsChild>
                    <w:div w:id="93987040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43432467">
          <w:marLeft w:val="0"/>
          <w:marRight w:val="0"/>
          <w:marTop w:val="525"/>
          <w:marBottom w:val="0"/>
          <w:divBdr>
            <w:top w:val="none" w:sz="0" w:space="0" w:color="auto"/>
            <w:left w:val="none" w:sz="0" w:space="0" w:color="auto"/>
            <w:bottom w:val="none" w:sz="0" w:space="0" w:color="auto"/>
            <w:right w:val="none" w:sz="0" w:space="0" w:color="auto"/>
          </w:divBdr>
          <w:divsChild>
            <w:div w:id="49245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85767">
      <w:bodyDiv w:val="1"/>
      <w:marLeft w:val="0"/>
      <w:marRight w:val="0"/>
      <w:marTop w:val="0"/>
      <w:marBottom w:val="0"/>
      <w:divBdr>
        <w:top w:val="none" w:sz="0" w:space="0" w:color="auto"/>
        <w:left w:val="none" w:sz="0" w:space="0" w:color="auto"/>
        <w:bottom w:val="none" w:sz="0" w:space="0" w:color="auto"/>
        <w:right w:val="none" w:sz="0" w:space="0" w:color="auto"/>
      </w:divBdr>
    </w:div>
    <w:div w:id="1520773454">
      <w:bodyDiv w:val="1"/>
      <w:marLeft w:val="0"/>
      <w:marRight w:val="0"/>
      <w:marTop w:val="0"/>
      <w:marBottom w:val="0"/>
      <w:divBdr>
        <w:top w:val="none" w:sz="0" w:space="0" w:color="auto"/>
        <w:left w:val="none" w:sz="0" w:space="0" w:color="auto"/>
        <w:bottom w:val="none" w:sz="0" w:space="0" w:color="auto"/>
        <w:right w:val="none" w:sz="0" w:space="0" w:color="auto"/>
      </w:divBdr>
      <w:divsChild>
        <w:div w:id="336154884">
          <w:marLeft w:val="0"/>
          <w:marRight w:val="0"/>
          <w:marTop w:val="0"/>
          <w:marBottom w:val="0"/>
          <w:divBdr>
            <w:top w:val="none" w:sz="0" w:space="0" w:color="auto"/>
            <w:left w:val="none" w:sz="0" w:space="0" w:color="auto"/>
            <w:bottom w:val="none" w:sz="0" w:space="0" w:color="auto"/>
            <w:right w:val="none" w:sz="0" w:space="0" w:color="auto"/>
          </w:divBdr>
          <w:divsChild>
            <w:div w:id="1398748788">
              <w:marLeft w:val="0"/>
              <w:marRight w:val="0"/>
              <w:marTop w:val="0"/>
              <w:marBottom w:val="0"/>
              <w:divBdr>
                <w:top w:val="none" w:sz="0" w:space="0" w:color="auto"/>
                <w:left w:val="none" w:sz="0" w:space="0" w:color="auto"/>
                <w:bottom w:val="none" w:sz="0" w:space="0" w:color="auto"/>
                <w:right w:val="none" w:sz="0" w:space="0" w:color="auto"/>
              </w:divBdr>
              <w:divsChild>
                <w:div w:id="1490051868">
                  <w:marLeft w:val="0"/>
                  <w:marRight w:val="0"/>
                  <w:marTop w:val="0"/>
                  <w:marBottom w:val="0"/>
                  <w:divBdr>
                    <w:top w:val="none" w:sz="0" w:space="0" w:color="auto"/>
                    <w:left w:val="none" w:sz="0" w:space="0" w:color="auto"/>
                    <w:bottom w:val="none" w:sz="0" w:space="0" w:color="auto"/>
                    <w:right w:val="none" w:sz="0" w:space="0" w:color="auto"/>
                  </w:divBdr>
                  <w:divsChild>
                    <w:div w:id="88264321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2092658">
          <w:marLeft w:val="0"/>
          <w:marRight w:val="0"/>
          <w:marTop w:val="525"/>
          <w:marBottom w:val="0"/>
          <w:divBdr>
            <w:top w:val="none" w:sz="0" w:space="0" w:color="auto"/>
            <w:left w:val="none" w:sz="0" w:space="0" w:color="auto"/>
            <w:bottom w:val="none" w:sz="0" w:space="0" w:color="auto"/>
            <w:right w:val="none" w:sz="0" w:space="0" w:color="auto"/>
          </w:divBdr>
          <w:divsChild>
            <w:div w:id="81961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363864">
      <w:bodyDiv w:val="1"/>
      <w:marLeft w:val="0"/>
      <w:marRight w:val="0"/>
      <w:marTop w:val="0"/>
      <w:marBottom w:val="0"/>
      <w:divBdr>
        <w:top w:val="none" w:sz="0" w:space="0" w:color="auto"/>
        <w:left w:val="none" w:sz="0" w:space="0" w:color="auto"/>
        <w:bottom w:val="none" w:sz="0" w:space="0" w:color="auto"/>
        <w:right w:val="none" w:sz="0" w:space="0" w:color="auto"/>
      </w:divBdr>
      <w:divsChild>
        <w:div w:id="1771654496">
          <w:marLeft w:val="0"/>
          <w:marRight w:val="0"/>
          <w:marTop w:val="0"/>
          <w:marBottom w:val="0"/>
          <w:divBdr>
            <w:top w:val="none" w:sz="0" w:space="0" w:color="auto"/>
            <w:left w:val="none" w:sz="0" w:space="0" w:color="auto"/>
            <w:bottom w:val="none" w:sz="0" w:space="0" w:color="auto"/>
            <w:right w:val="none" w:sz="0" w:space="0" w:color="auto"/>
          </w:divBdr>
          <w:divsChild>
            <w:div w:id="1241064717">
              <w:marLeft w:val="0"/>
              <w:marRight w:val="0"/>
              <w:marTop w:val="0"/>
              <w:marBottom w:val="0"/>
              <w:divBdr>
                <w:top w:val="none" w:sz="0" w:space="0" w:color="auto"/>
                <w:left w:val="none" w:sz="0" w:space="0" w:color="auto"/>
                <w:bottom w:val="none" w:sz="0" w:space="0" w:color="auto"/>
                <w:right w:val="none" w:sz="0" w:space="0" w:color="auto"/>
              </w:divBdr>
              <w:divsChild>
                <w:div w:id="521625278">
                  <w:marLeft w:val="0"/>
                  <w:marRight w:val="0"/>
                  <w:marTop w:val="0"/>
                  <w:marBottom w:val="0"/>
                  <w:divBdr>
                    <w:top w:val="none" w:sz="0" w:space="0" w:color="auto"/>
                    <w:left w:val="none" w:sz="0" w:space="0" w:color="auto"/>
                    <w:bottom w:val="none" w:sz="0" w:space="0" w:color="auto"/>
                    <w:right w:val="none" w:sz="0" w:space="0" w:color="auto"/>
                  </w:divBdr>
                  <w:divsChild>
                    <w:div w:id="51381215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840775419">
          <w:marLeft w:val="0"/>
          <w:marRight w:val="0"/>
          <w:marTop w:val="525"/>
          <w:marBottom w:val="0"/>
          <w:divBdr>
            <w:top w:val="none" w:sz="0" w:space="0" w:color="auto"/>
            <w:left w:val="none" w:sz="0" w:space="0" w:color="auto"/>
            <w:bottom w:val="none" w:sz="0" w:space="0" w:color="auto"/>
            <w:right w:val="none" w:sz="0" w:space="0" w:color="auto"/>
          </w:divBdr>
          <w:divsChild>
            <w:div w:id="1439446324">
              <w:marLeft w:val="0"/>
              <w:marRight w:val="0"/>
              <w:marTop w:val="0"/>
              <w:marBottom w:val="0"/>
              <w:divBdr>
                <w:top w:val="none" w:sz="0" w:space="0" w:color="auto"/>
                <w:left w:val="none" w:sz="0" w:space="0" w:color="auto"/>
                <w:bottom w:val="none" w:sz="0" w:space="0" w:color="auto"/>
                <w:right w:val="none" w:sz="0" w:space="0" w:color="auto"/>
              </w:divBdr>
              <w:divsChild>
                <w:div w:id="20514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041368">
      <w:bodyDiv w:val="1"/>
      <w:marLeft w:val="0"/>
      <w:marRight w:val="0"/>
      <w:marTop w:val="0"/>
      <w:marBottom w:val="0"/>
      <w:divBdr>
        <w:top w:val="none" w:sz="0" w:space="0" w:color="auto"/>
        <w:left w:val="none" w:sz="0" w:space="0" w:color="auto"/>
        <w:bottom w:val="none" w:sz="0" w:space="0" w:color="auto"/>
        <w:right w:val="none" w:sz="0" w:space="0" w:color="auto"/>
      </w:divBdr>
      <w:divsChild>
        <w:div w:id="1430547565">
          <w:marLeft w:val="0"/>
          <w:marRight w:val="0"/>
          <w:marTop w:val="0"/>
          <w:marBottom w:val="0"/>
          <w:divBdr>
            <w:top w:val="none" w:sz="0" w:space="0" w:color="auto"/>
            <w:left w:val="none" w:sz="0" w:space="0" w:color="auto"/>
            <w:bottom w:val="none" w:sz="0" w:space="0" w:color="auto"/>
            <w:right w:val="none" w:sz="0" w:space="0" w:color="auto"/>
          </w:divBdr>
          <w:divsChild>
            <w:div w:id="291978783">
              <w:marLeft w:val="0"/>
              <w:marRight w:val="0"/>
              <w:marTop w:val="0"/>
              <w:marBottom w:val="0"/>
              <w:divBdr>
                <w:top w:val="none" w:sz="0" w:space="0" w:color="auto"/>
                <w:left w:val="none" w:sz="0" w:space="0" w:color="auto"/>
                <w:bottom w:val="none" w:sz="0" w:space="0" w:color="auto"/>
                <w:right w:val="none" w:sz="0" w:space="0" w:color="auto"/>
              </w:divBdr>
              <w:divsChild>
                <w:div w:id="453181947">
                  <w:marLeft w:val="0"/>
                  <w:marRight w:val="0"/>
                  <w:marTop w:val="0"/>
                  <w:marBottom w:val="0"/>
                  <w:divBdr>
                    <w:top w:val="none" w:sz="0" w:space="0" w:color="auto"/>
                    <w:left w:val="none" w:sz="0" w:space="0" w:color="auto"/>
                    <w:bottom w:val="none" w:sz="0" w:space="0" w:color="auto"/>
                    <w:right w:val="none" w:sz="0" w:space="0" w:color="auto"/>
                  </w:divBdr>
                  <w:divsChild>
                    <w:div w:id="59475226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68832800">
          <w:marLeft w:val="0"/>
          <w:marRight w:val="0"/>
          <w:marTop w:val="525"/>
          <w:marBottom w:val="0"/>
          <w:divBdr>
            <w:top w:val="none" w:sz="0" w:space="0" w:color="auto"/>
            <w:left w:val="none" w:sz="0" w:space="0" w:color="auto"/>
            <w:bottom w:val="none" w:sz="0" w:space="0" w:color="auto"/>
            <w:right w:val="none" w:sz="0" w:space="0" w:color="auto"/>
          </w:divBdr>
          <w:divsChild>
            <w:div w:id="31924844">
              <w:marLeft w:val="0"/>
              <w:marRight w:val="0"/>
              <w:marTop w:val="0"/>
              <w:marBottom w:val="0"/>
              <w:divBdr>
                <w:top w:val="none" w:sz="0" w:space="0" w:color="auto"/>
                <w:left w:val="none" w:sz="0" w:space="0" w:color="auto"/>
                <w:bottom w:val="none" w:sz="0" w:space="0" w:color="auto"/>
                <w:right w:val="none" w:sz="0" w:space="0" w:color="auto"/>
              </w:divBdr>
              <w:divsChild>
                <w:div w:id="67707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173016">
      <w:bodyDiv w:val="1"/>
      <w:marLeft w:val="0"/>
      <w:marRight w:val="0"/>
      <w:marTop w:val="0"/>
      <w:marBottom w:val="0"/>
      <w:divBdr>
        <w:top w:val="none" w:sz="0" w:space="0" w:color="auto"/>
        <w:left w:val="none" w:sz="0" w:space="0" w:color="auto"/>
        <w:bottom w:val="none" w:sz="0" w:space="0" w:color="auto"/>
        <w:right w:val="none" w:sz="0" w:space="0" w:color="auto"/>
      </w:divBdr>
      <w:divsChild>
        <w:div w:id="159781158">
          <w:marLeft w:val="0"/>
          <w:marRight w:val="0"/>
          <w:marTop w:val="0"/>
          <w:marBottom w:val="0"/>
          <w:divBdr>
            <w:top w:val="none" w:sz="0" w:space="0" w:color="auto"/>
            <w:left w:val="none" w:sz="0" w:space="0" w:color="auto"/>
            <w:bottom w:val="none" w:sz="0" w:space="0" w:color="auto"/>
            <w:right w:val="none" w:sz="0" w:space="0" w:color="auto"/>
          </w:divBdr>
          <w:divsChild>
            <w:div w:id="1323897561">
              <w:marLeft w:val="0"/>
              <w:marRight w:val="0"/>
              <w:marTop w:val="0"/>
              <w:marBottom w:val="0"/>
              <w:divBdr>
                <w:top w:val="none" w:sz="0" w:space="0" w:color="auto"/>
                <w:left w:val="none" w:sz="0" w:space="0" w:color="auto"/>
                <w:bottom w:val="none" w:sz="0" w:space="0" w:color="auto"/>
                <w:right w:val="none" w:sz="0" w:space="0" w:color="auto"/>
              </w:divBdr>
              <w:divsChild>
                <w:div w:id="1401832858">
                  <w:marLeft w:val="0"/>
                  <w:marRight w:val="0"/>
                  <w:marTop w:val="0"/>
                  <w:marBottom w:val="0"/>
                  <w:divBdr>
                    <w:top w:val="none" w:sz="0" w:space="0" w:color="auto"/>
                    <w:left w:val="none" w:sz="0" w:space="0" w:color="auto"/>
                    <w:bottom w:val="none" w:sz="0" w:space="0" w:color="auto"/>
                    <w:right w:val="none" w:sz="0" w:space="0" w:color="auto"/>
                  </w:divBdr>
                  <w:divsChild>
                    <w:div w:id="148812691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33515353">
          <w:marLeft w:val="0"/>
          <w:marRight w:val="0"/>
          <w:marTop w:val="525"/>
          <w:marBottom w:val="0"/>
          <w:divBdr>
            <w:top w:val="none" w:sz="0" w:space="0" w:color="auto"/>
            <w:left w:val="none" w:sz="0" w:space="0" w:color="auto"/>
            <w:bottom w:val="none" w:sz="0" w:space="0" w:color="auto"/>
            <w:right w:val="none" w:sz="0" w:space="0" w:color="auto"/>
          </w:divBdr>
          <w:divsChild>
            <w:div w:id="720010949">
              <w:marLeft w:val="0"/>
              <w:marRight w:val="0"/>
              <w:marTop w:val="0"/>
              <w:marBottom w:val="0"/>
              <w:divBdr>
                <w:top w:val="none" w:sz="0" w:space="0" w:color="auto"/>
                <w:left w:val="none" w:sz="0" w:space="0" w:color="auto"/>
                <w:bottom w:val="none" w:sz="0" w:space="0" w:color="auto"/>
                <w:right w:val="none" w:sz="0" w:space="0" w:color="auto"/>
              </w:divBdr>
              <w:divsChild>
                <w:div w:id="211158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5229">
      <w:bodyDiv w:val="1"/>
      <w:marLeft w:val="0"/>
      <w:marRight w:val="0"/>
      <w:marTop w:val="0"/>
      <w:marBottom w:val="0"/>
      <w:divBdr>
        <w:top w:val="none" w:sz="0" w:space="0" w:color="auto"/>
        <w:left w:val="none" w:sz="0" w:space="0" w:color="auto"/>
        <w:bottom w:val="none" w:sz="0" w:space="0" w:color="auto"/>
        <w:right w:val="none" w:sz="0" w:space="0" w:color="auto"/>
      </w:divBdr>
      <w:divsChild>
        <w:div w:id="715088451">
          <w:marLeft w:val="0"/>
          <w:marRight w:val="0"/>
          <w:marTop w:val="0"/>
          <w:marBottom w:val="0"/>
          <w:divBdr>
            <w:top w:val="none" w:sz="0" w:space="0" w:color="auto"/>
            <w:left w:val="none" w:sz="0" w:space="0" w:color="auto"/>
            <w:bottom w:val="none" w:sz="0" w:space="0" w:color="auto"/>
            <w:right w:val="none" w:sz="0" w:space="0" w:color="auto"/>
          </w:divBdr>
          <w:divsChild>
            <w:div w:id="972708795">
              <w:marLeft w:val="0"/>
              <w:marRight w:val="0"/>
              <w:marTop w:val="0"/>
              <w:marBottom w:val="0"/>
              <w:divBdr>
                <w:top w:val="none" w:sz="0" w:space="0" w:color="auto"/>
                <w:left w:val="none" w:sz="0" w:space="0" w:color="auto"/>
                <w:bottom w:val="none" w:sz="0" w:space="0" w:color="auto"/>
                <w:right w:val="none" w:sz="0" w:space="0" w:color="auto"/>
              </w:divBdr>
              <w:divsChild>
                <w:div w:id="1580942309">
                  <w:marLeft w:val="0"/>
                  <w:marRight w:val="0"/>
                  <w:marTop w:val="0"/>
                  <w:marBottom w:val="0"/>
                  <w:divBdr>
                    <w:top w:val="none" w:sz="0" w:space="0" w:color="auto"/>
                    <w:left w:val="none" w:sz="0" w:space="0" w:color="auto"/>
                    <w:bottom w:val="none" w:sz="0" w:space="0" w:color="auto"/>
                    <w:right w:val="none" w:sz="0" w:space="0" w:color="auto"/>
                  </w:divBdr>
                  <w:divsChild>
                    <w:div w:id="161822313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46162613">
          <w:marLeft w:val="0"/>
          <w:marRight w:val="0"/>
          <w:marTop w:val="525"/>
          <w:marBottom w:val="0"/>
          <w:divBdr>
            <w:top w:val="none" w:sz="0" w:space="0" w:color="auto"/>
            <w:left w:val="none" w:sz="0" w:space="0" w:color="auto"/>
            <w:bottom w:val="none" w:sz="0" w:space="0" w:color="auto"/>
            <w:right w:val="none" w:sz="0" w:space="0" w:color="auto"/>
          </w:divBdr>
          <w:divsChild>
            <w:div w:id="786241269">
              <w:marLeft w:val="0"/>
              <w:marRight w:val="0"/>
              <w:marTop w:val="0"/>
              <w:marBottom w:val="0"/>
              <w:divBdr>
                <w:top w:val="none" w:sz="0" w:space="0" w:color="auto"/>
                <w:left w:val="none" w:sz="0" w:space="0" w:color="auto"/>
                <w:bottom w:val="none" w:sz="0" w:space="0" w:color="auto"/>
                <w:right w:val="none" w:sz="0" w:space="0" w:color="auto"/>
              </w:divBdr>
              <w:divsChild>
                <w:div w:id="109867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810020">
      <w:bodyDiv w:val="1"/>
      <w:marLeft w:val="0"/>
      <w:marRight w:val="0"/>
      <w:marTop w:val="0"/>
      <w:marBottom w:val="0"/>
      <w:divBdr>
        <w:top w:val="none" w:sz="0" w:space="0" w:color="auto"/>
        <w:left w:val="none" w:sz="0" w:space="0" w:color="auto"/>
        <w:bottom w:val="none" w:sz="0" w:space="0" w:color="auto"/>
        <w:right w:val="none" w:sz="0" w:space="0" w:color="auto"/>
      </w:divBdr>
      <w:divsChild>
        <w:div w:id="34354201">
          <w:marLeft w:val="0"/>
          <w:marRight w:val="0"/>
          <w:marTop w:val="0"/>
          <w:marBottom w:val="0"/>
          <w:divBdr>
            <w:top w:val="none" w:sz="0" w:space="0" w:color="auto"/>
            <w:left w:val="none" w:sz="0" w:space="0" w:color="auto"/>
            <w:bottom w:val="none" w:sz="0" w:space="0" w:color="auto"/>
            <w:right w:val="none" w:sz="0" w:space="0" w:color="auto"/>
          </w:divBdr>
          <w:divsChild>
            <w:div w:id="355275684">
              <w:marLeft w:val="0"/>
              <w:marRight w:val="0"/>
              <w:marTop w:val="0"/>
              <w:marBottom w:val="0"/>
              <w:divBdr>
                <w:top w:val="none" w:sz="0" w:space="0" w:color="auto"/>
                <w:left w:val="none" w:sz="0" w:space="0" w:color="auto"/>
                <w:bottom w:val="none" w:sz="0" w:space="0" w:color="auto"/>
                <w:right w:val="none" w:sz="0" w:space="0" w:color="auto"/>
              </w:divBdr>
              <w:divsChild>
                <w:div w:id="619579466">
                  <w:marLeft w:val="0"/>
                  <w:marRight w:val="0"/>
                  <w:marTop w:val="0"/>
                  <w:marBottom w:val="0"/>
                  <w:divBdr>
                    <w:top w:val="none" w:sz="0" w:space="0" w:color="auto"/>
                    <w:left w:val="none" w:sz="0" w:space="0" w:color="auto"/>
                    <w:bottom w:val="none" w:sz="0" w:space="0" w:color="auto"/>
                    <w:right w:val="none" w:sz="0" w:space="0" w:color="auto"/>
                  </w:divBdr>
                  <w:divsChild>
                    <w:div w:id="161408870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48907677">
          <w:marLeft w:val="0"/>
          <w:marRight w:val="0"/>
          <w:marTop w:val="525"/>
          <w:marBottom w:val="0"/>
          <w:divBdr>
            <w:top w:val="none" w:sz="0" w:space="0" w:color="auto"/>
            <w:left w:val="none" w:sz="0" w:space="0" w:color="auto"/>
            <w:bottom w:val="none" w:sz="0" w:space="0" w:color="auto"/>
            <w:right w:val="none" w:sz="0" w:space="0" w:color="auto"/>
          </w:divBdr>
          <w:divsChild>
            <w:div w:id="655496927">
              <w:marLeft w:val="0"/>
              <w:marRight w:val="0"/>
              <w:marTop w:val="0"/>
              <w:marBottom w:val="0"/>
              <w:divBdr>
                <w:top w:val="none" w:sz="0" w:space="0" w:color="auto"/>
                <w:left w:val="none" w:sz="0" w:space="0" w:color="auto"/>
                <w:bottom w:val="none" w:sz="0" w:space="0" w:color="auto"/>
                <w:right w:val="none" w:sz="0" w:space="0" w:color="auto"/>
              </w:divBdr>
              <w:divsChild>
                <w:div w:id="516971127">
                  <w:marLeft w:val="0"/>
                  <w:marRight w:val="0"/>
                  <w:marTop w:val="0"/>
                  <w:marBottom w:val="0"/>
                  <w:divBdr>
                    <w:top w:val="none" w:sz="0" w:space="0" w:color="auto"/>
                    <w:left w:val="none" w:sz="0" w:space="0" w:color="auto"/>
                    <w:bottom w:val="none" w:sz="0" w:space="0" w:color="auto"/>
                    <w:right w:val="none" w:sz="0" w:space="0" w:color="auto"/>
                  </w:divBdr>
                  <w:divsChild>
                    <w:div w:id="2003510706">
                      <w:marLeft w:val="0"/>
                      <w:marRight w:val="0"/>
                      <w:marTop w:val="0"/>
                      <w:marBottom w:val="0"/>
                      <w:divBdr>
                        <w:top w:val="none" w:sz="0" w:space="0" w:color="auto"/>
                        <w:left w:val="none" w:sz="0" w:space="0" w:color="auto"/>
                        <w:bottom w:val="none" w:sz="0" w:space="0" w:color="auto"/>
                        <w:right w:val="none" w:sz="0" w:space="0" w:color="auto"/>
                      </w:divBdr>
                      <w:divsChild>
                        <w:div w:id="125366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660928">
      <w:bodyDiv w:val="1"/>
      <w:marLeft w:val="0"/>
      <w:marRight w:val="0"/>
      <w:marTop w:val="0"/>
      <w:marBottom w:val="0"/>
      <w:divBdr>
        <w:top w:val="none" w:sz="0" w:space="0" w:color="auto"/>
        <w:left w:val="none" w:sz="0" w:space="0" w:color="auto"/>
        <w:bottom w:val="none" w:sz="0" w:space="0" w:color="auto"/>
        <w:right w:val="none" w:sz="0" w:space="0" w:color="auto"/>
      </w:divBdr>
    </w:div>
    <w:div w:id="1922523664">
      <w:bodyDiv w:val="1"/>
      <w:marLeft w:val="0"/>
      <w:marRight w:val="0"/>
      <w:marTop w:val="0"/>
      <w:marBottom w:val="0"/>
      <w:divBdr>
        <w:top w:val="none" w:sz="0" w:space="0" w:color="auto"/>
        <w:left w:val="none" w:sz="0" w:space="0" w:color="auto"/>
        <w:bottom w:val="none" w:sz="0" w:space="0" w:color="auto"/>
        <w:right w:val="none" w:sz="0" w:space="0" w:color="auto"/>
      </w:divBdr>
    </w:div>
    <w:div w:id="1992519224">
      <w:bodyDiv w:val="1"/>
      <w:marLeft w:val="0"/>
      <w:marRight w:val="0"/>
      <w:marTop w:val="0"/>
      <w:marBottom w:val="0"/>
      <w:divBdr>
        <w:top w:val="none" w:sz="0" w:space="0" w:color="auto"/>
        <w:left w:val="none" w:sz="0" w:space="0" w:color="auto"/>
        <w:bottom w:val="none" w:sz="0" w:space="0" w:color="auto"/>
        <w:right w:val="none" w:sz="0" w:space="0" w:color="auto"/>
      </w:divBdr>
      <w:divsChild>
        <w:div w:id="1567909183">
          <w:marLeft w:val="0"/>
          <w:marRight w:val="0"/>
          <w:marTop w:val="0"/>
          <w:marBottom w:val="0"/>
          <w:divBdr>
            <w:top w:val="none" w:sz="0" w:space="0" w:color="auto"/>
            <w:left w:val="none" w:sz="0" w:space="0" w:color="auto"/>
            <w:bottom w:val="none" w:sz="0" w:space="0" w:color="auto"/>
            <w:right w:val="none" w:sz="0" w:space="0" w:color="auto"/>
          </w:divBdr>
          <w:divsChild>
            <w:div w:id="322898223">
              <w:marLeft w:val="0"/>
              <w:marRight w:val="0"/>
              <w:marTop w:val="0"/>
              <w:marBottom w:val="0"/>
              <w:divBdr>
                <w:top w:val="none" w:sz="0" w:space="0" w:color="auto"/>
                <w:left w:val="none" w:sz="0" w:space="0" w:color="auto"/>
                <w:bottom w:val="none" w:sz="0" w:space="0" w:color="auto"/>
                <w:right w:val="none" w:sz="0" w:space="0" w:color="auto"/>
              </w:divBdr>
              <w:divsChild>
                <w:div w:id="1453133085">
                  <w:marLeft w:val="0"/>
                  <w:marRight w:val="0"/>
                  <w:marTop w:val="0"/>
                  <w:marBottom w:val="0"/>
                  <w:divBdr>
                    <w:top w:val="none" w:sz="0" w:space="0" w:color="auto"/>
                    <w:left w:val="none" w:sz="0" w:space="0" w:color="auto"/>
                    <w:bottom w:val="none" w:sz="0" w:space="0" w:color="auto"/>
                    <w:right w:val="none" w:sz="0" w:space="0" w:color="auto"/>
                  </w:divBdr>
                  <w:divsChild>
                    <w:div w:id="3132633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414504">
          <w:marLeft w:val="0"/>
          <w:marRight w:val="0"/>
          <w:marTop w:val="525"/>
          <w:marBottom w:val="0"/>
          <w:divBdr>
            <w:top w:val="none" w:sz="0" w:space="0" w:color="auto"/>
            <w:left w:val="none" w:sz="0" w:space="0" w:color="auto"/>
            <w:bottom w:val="none" w:sz="0" w:space="0" w:color="auto"/>
            <w:right w:val="none" w:sz="0" w:space="0" w:color="auto"/>
          </w:divBdr>
          <w:divsChild>
            <w:div w:id="131144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598340">
      <w:bodyDiv w:val="1"/>
      <w:marLeft w:val="0"/>
      <w:marRight w:val="0"/>
      <w:marTop w:val="0"/>
      <w:marBottom w:val="0"/>
      <w:divBdr>
        <w:top w:val="none" w:sz="0" w:space="0" w:color="auto"/>
        <w:left w:val="none" w:sz="0" w:space="0" w:color="auto"/>
        <w:bottom w:val="none" w:sz="0" w:space="0" w:color="auto"/>
        <w:right w:val="none" w:sz="0" w:space="0" w:color="auto"/>
      </w:divBdr>
      <w:divsChild>
        <w:div w:id="2012946293">
          <w:marLeft w:val="0"/>
          <w:marRight w:val="0"/>
          <w:marTop w:val="0"/>
          <w:marBottom w:val="0"/>
          <w:divBdr>
            <w:top w:val="none" w:sz="0" w:space="0" w:color="auto"/>
            <w:left w:val="none" w:sz="0" w:space="0" w:color="auto"/>
            <w:bottom w:val="none" w:sz="0" w:space="0" w:color="auto"/>
            <w:right w:val="none" w:sz="0" w:space="0" w:color="auto"/>
          </w:divBdr>
          <w:divsChild>
            <w:div w:id="1023358526">
              <w:marLeft w:val="0"/>
              <w:marRight w:val="0"/>
              <w:marTop w:val="0"/>
              <w:marBottom w:val="0"/>
              <w:divBdr>
                <w:top w:val="none" w:sz="0" w:space="0" w:color="auto"/>
                <w:left w:val="none" w:sz="0" w:space="0" w:color="auto"/>
                <w:bottom w:val="none" w:sz="0" w:space="0" w:color="auto"/>
                <w:right w:val="none" w:sz="0" w:space="0" w:color="auto"/>
              </w:divBdr>
              <w:divsChild>
                <w:div w:id="60451012">
                  <w:marLeft w:val="0"/>
                  <w:marRight w:val="0"/>
                  <w:marTop w:val="0"/>
                  <w:marBottom w:val="0"/>
                  <w:divBdr>
                    <w:top w:val="none" w:sz="0" w:space="0" w:color="auto"/>
                    <w:left w:val="none" w:sz="0" w:space="0" w:color="auto"/>
                    <w:bottom w:val="none" w:sz="0" w:space="0" w:color="auto"/>
                    <w:right w:val="none" w:sz="0" w:space="0" w:color="auto"/>
                  </w:divBdr>
                  <w:divsChild>
                    <w:div w:id="13458580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0978531">
          <w:marLeft w:val="0"/>
          <w:marRight w:val="0"/>
          <w:marTop w:val="525"/>
          <w:marBottom w:val="0"/>
          <w:divBdr>
            <w:top w:val="none" w:sz="0" w:space="0" w:color="auto"/>
            <w:left w:val="none" w:sz="0" w:space="0" w:color="auto"/>
            <w:bottom w:val="none" w:sz="0" w:space="0" w:color="auto"/>
            <w:right w:val="none" w:sz="0" w:space="0" w:color="auto"/>
          </w:divBdr>
          <w:divsChild>
            <w:div w:id="667444274">
              <w:marLeft w:val="0"/>
              <w:marRight w:val="0"/>
              <w:marTop w:val="0"/>
              <w:marBottom w:val="0"/>
              <w:divBdr>
                <w:top w:val="none" w:sz="0" w:space="0" w:color="auto"/>
                <w:left w:val="none" w:sz="0" w:space="0" w:color="auto"/>
                <w:bottom w:val="none" w:sz="0" w:space="0" w:color="auto"/>
                <w:right w:val="none" w:sz="0" w:space="0" w:color="auto"/>
              </w:divBdr>
              <w:divsChild>
                <w:div w:id="180246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886927">
      <w:bodyDiv w:val="1"/>
      <w:marLeft w:val="0"/>
      <w:marRight w:val="0"/>
      <w:marTop w:val="0"/>
      <w:marBottom w:val="0"/>
      <w:divBdr>
        <w:top w:val="none" w:sz="0" w:space="0" w:color="auto"/>
        <w:left w:val="none" w:sz="0" w:space="0" w:color="auto"/>
        <w:bottom w:val="none" w:sz="0" w:space="0" w:color="auto"/>
        <w:right w:val="none" w:sz="0" w:space="0" w:color="auto"/>
      </w:divBdr>
      <w:divsChild>
        <w:div w:id="1717772514">
          <w:marLeft w:val="0"/>
          <w:marRight w:val="0"/>
          <w:marTop w:val="0"/>
          <w:marBottom w:val="0"/>
          <w:divBdr>
            <w:top w:val="none" w:sz="0" w:space="0" w:color="auto"/>
            <w:left w:val="none" w:sz="0" w:space="0" w:color="auto"/>
            <w:bottom w:val="none" w:sz="0" w:space="0" w:color="auto"/>
            <w:right w:val="none" w:sz="0" w:space="0" w:color="auto"/>
          </w:divBdr>
          <w:divsChild>
            <w:div w:id="1176650059">
              <w:marLeft w:val="0"/>
              <w:marRight w:val="0"/>
              <w:marTop w:val="0"/>
              <w:marBottom w:val="0"/>
              <w:divBdr>
                <w:top w:val="none" w:sz="0" w:space="0" w:color="auto"/>
                <w:left w:val="none" w:sz="0" w:space="0" w:color="auto"/>
                <w:bottom w:val="none" w:sz="0" w:space="0" w:color="auto"/>
                <w:right w:val="none" w:sz="0" w:space="0" w:color="auto"/>
              </w:divBdr>
              <w:divsChild>
                <w:div w:id="1961716058">
                  <w:marLeft w:val="0"/>
                  <w:marRight w:val="0"/>
                  <w:marTop w:val="0"/>
                  <w:marBottom w:val="0"/>
                  <w:divBdr>
                    <w:top w:val="none" w:sz="0" w:space="0" w:color="auto"/>
                    <w:left w:val="none" w:sz="0" w:space="0" w:color="auto"/>
                    <w:bottom w:val="none" w:sz="0" w:space="0" w:color="auto"/>
                    <w:right w:val="none" w:sz="0" w:space="0" w:color="auto"/>
                  </w:divBdr>
                  <w:divsChild>
                    <w:div w:id="179732889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26239925">
          <w:marLeft w:val="0"/>
          <w:marRight w:val="0"/>
          <w:marTop w:val="525"/>
          <w:marBottom w:val="0"/>
          <w:divBdr>
            <w:top w:val="none" w:sz="0" w:space="0" w:color="auto"/>
            <w:left w:val="none" w:sz="0" w:space="0" w:color="auto"/>
            <w:bottom w:val="none" w:sz="0" w:space="0" w:color="auto"/>
            <w:right w:val="none" w:sz="0" w:space="0" w:color="auto"/>
          </w:divBdr>
          <w:divsChild>
            <w:div w:id="156460423">
              <w:marLeft w:val="0"/>
              <w:marRight w:val="0"/>
              <w:marTop w:val="0"/>
              <w:marBottom w:val="0"/>
              <w:divBdr>
                <w:top w:val="none" w:sz="0" w:space="0" w:color="auto"/>
                <w:left w:val="none" w:sz="0" w:space="0" w:color="auto"/>
                <w:bottom w:val="none" w:sz="0" w:space="0" w:color="auto"/>
                <w:right w:val="none" w:sz="0" w:space="0" w:color="auto"/>
              </w:divBdr>
              <w:divsChild>
                <w:div w:id="39833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536379">
      <w:bodyDiv w:val="1"/>
      <w:marLeft w:val="0"/>
      <w:marRight w:val="0"/>
      <w:marTop w:val="0"/>
      <w:marBottom w:val="0"/>
      <w:divBdr>
        <w:top w:val="none" w:sz="0" w:space="0" w:color="auto"/>
        <w:left w:val="none" w:sz="0" w:space="0" w:color="auto"/>
        <w:bottom w:val="none" w:sz="0" w:space="0" w:color="auto"/>
        <w:right w:val="none" w:sz="0" w:space="0" w:color="auto"/>
      </w:divBdr>
      <w:divsChild>
        <w:div w:id="203831046">
          <w:marLeft w:val="0"/>
          <w:marRight w:val="0"/>
          <w:marTop w:val="0"/>
          <w:marBottom w:val="0"/>
          <w:divBdr>
            <w:top w:val="none" w:sz="0" w:space="0" w:color="auto"/>
            <w:left w:val="none" w:sz="0" w:space="0" w:color="auto"/>
            <w:bottom w:val="none" w:sz="0" w:space="0" w:color="auto"/>
            <w:right w:val="none" w:sz="0" w:space="0" w:color="auto"/>
          </w:divBdr>
          <w:divsChild>
            <w:div w:id="1972247034">
              <w:marLeft w:val="0"/>
              <w:marRight w:val="0"/>
              <w:marTop w:val="0"/>
              <w:marBottom w:val="0"/>
              <w:divBdr>
                <w:top w:val="none" w:sz="0" w:space="0" w:color="auto"/>
                <w:left w:val="none" w:sz="0" w:space="0" w:color="auto"/>
                <w:bottom w:val="none" w:sz="0" w:space="0" w:color="auto"/>
                <w:right w:val="none" w:sz="0" w:space="0" w:color="auto"/>
              </w:divBdr>
              <w:divsChild>
                <w:div w:id="1240679328">
                  <w:marLeft w:val="0"/>
                  <w:marRight w:val="0"/>
                  <w:marTop w:val="0"/>
                  <w:marBottom w:val="0"/>
                  <w:divBdr>
                    <w:top w:val="none" w:sz="0" w:space="0" w:color="auto"/>
                    <w:left w:val="none" w:sz="0" w:space="0" w:color="auto"/>
                    <w:bottom w:val="none" w:sz="0" w:space="0" w:color="auto"/>
                    <w:right w:val="none" w:sz="0" w:space="0" w:color="auto"/>
                  </w:divBdr>
                  <w:divsChild>
                    <w:div w:id="60504203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62569478">
          <w:marLeft w:val="0"/>
          <w:marRight w:val="0"/>
          <w:marTop w:val="525"/>
          <w:marBottom w:val="0"/>
          <w:divBdr>
            <w:top w:val="none" w:sz="0" w:space="0" w:color="auto"/>
            <w:left w:val="none" w:sz="0" w:space="0" w:color="auto"/>
            <w:bottom w:val="none" w:sz="0" w:space="0" w:color="auto"/>
            <w:right w:val="none" w:sz="0" w:space="0" w:color="auto"/>
          </w:divBdr>
          <w:divsChild>
            <w:div w:id="1832672654">
              <w:marLeft w:val="0"/>
              <w:marRight w:val="0"/>
              <w:marTop w:val="0"/>
              <w:marBottom w:val="0"/>
              <w:divBdr>
                <w:top w:val="none" w:sz="0" w:space="0" w:color="auto"/>
                <w:left w:val="none" w:sz="0" w:space="0" w:color="auto"/>
                <w:bottom w:val="none" w:sz="0" w:space="0" w:color="auto"/>
                <w:right w:val="none" w:sz="0" w:space="0" w:color="auto"/>
              </w:divBdr>
              <w:divsChild>
                <w:div w:id="176849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javascript:ShowMainContent('Act',%20'CMSID',%20'102120000000058025',%20'');" TargetMode="External"/><Relationship Id="rId117" Type="http://schemas.openxmlformats.org/officeDocument/2006/relationships/hyperlink" Target="javascript:ShowMainContent('Act',%20'CMSID',%20'102120000000058114',%20'');" TargetMode="External"/><Relationship Id="rId21" Type="http://schemas.openxmlformats.org/officeDocument/2006/relationships/hyperlink" Target="javascript:ShowFootnote('ftn5_section139');" TargetMode="External"/><Relationship Id="rId42" Type="http://schemas.openxmlformats.org/officeDocument/2006/relationships/hyperlink" Target="javascript:ShowMainContent('Act',%20'CMSID',%20'102120000000058032',%20'');" TargetMode="External"/><Relationship Id="rId47" Type="http://schemas.openxmlformats.org/officeDocument/2006/relationships/hyperlink" Target="javascript:ShowMainContent('Act',%20'CMSID',%20'102120000000058740',%20'');" TargetMode="External"/><Relationship Id="rId63" Type="http://schemas.openxmlformats.org/officeDocument/2006/relationships/hyperlink" Target="javascript:ShowFootnote('ftn11_section139');" TargetMode="External"/><Relationship Id="rId68" Type="http://schemas.openxmlformats.org/officeDocument/2006/relationships/hyperlink" Target="javascript:ShowMainContent('Act',%20'CMSID',%20'102120000000058402',%20'');" TargetMode="External"/><Relationship Id="rId84" Type="http://schemas.openxmlformats.org/officeDocument/2006/relationships/hyperlink" Target="javascript:ShowMainContent('Act',%20'CMSID',%20'102120000000058602',%20'');" TargetMode="External"/><Relationship Id="rId89" Type="http://schemas.openxmlformats.org/officeDocument/2006/relationships/hyperlink" Target="javascript:ShowMainContent('Act',%20'CMSID',%20'102120000000058399',%20'');" TargetMode="External"/><Relationship Id="rId112" Type="http://schemas.openxmlformats.org/officeDocument/2006/relationships/hyperlink" Target="javascript:ShowMainContent('Act',%20'CMSID',%20'102120000000058158',%20'');" TargetMode="External"/><Relationship Id="rId16" Type="http://schemas.openxmlformats.org/officeDocument/2006/relationships/hyperlink" Target="javascript:ShowMainContent('Act',%20'CMSID',%20'102120000000058165',%20'');" TargetMode="External"/><Relationship Id="rId107" Type="http://schemas.openxmlformats.org/officeDocument/2006/relationships/hyperlink" Target="javascript:ShowFootnote('ftn35_section32');" TargetMode="External"/><Relationship Id="rId11" Type="http://schemas.openxmlformats.org/officeDocument/2006/relationships/hyperlink" Target="javascript:ShowFootnote('ftn52_56_section80');" TargetMode="External"/><Relationship Id="rId32" Type="http://schemas.openxmlformats.org/officeDocument/2006/relationships/hyperlink" Target="javascript:ShowMainContent('Act',%20'CMSID',%20'102120000000058165',%20'');" TargetMode="External"/><Relationship Id="rId37" Type="http://schemas.openxmlformats.org/officeDocument/2006/relationships/hyperlink" Target="javascript:ShowFootnote('ftn5_section139');" TargetMode="External"/><Relationship Id="rId53" Type="http://schemas.openxmlformats.org/officeDocument/2006/relationships/hyperlink" Target="javascript:ShowMainContent('Act',%20'CMSID',%20'102120000000058740',%20'');" TargetMode="External"/><Relationship Id="rId58" Type="http://schemas.openxmlformats.org/officeDocument/2006/relationships/hyperlink" Target="javascript:ShowMainContent('Act',%20'CMSID',%20'102120000000058740',%20'');" TargetMode="External"/><Relationship Id="rId74" Type="http://schemas.openxmlformats.org/officeDocument/2006/relationships/hyperlink" Target="javascript:ShowFootnote('ftn15_section139');" TargetMode="External"/><Relationship Id="rId79" Type="http://schemas.openxmlformats.org/officeDocument/2006/relationships/hyperlink" Target="javascript:ShowMainContent('Act',%20'CMSID',%20'102120000000058572',%20'');" TargetMode="External"/><Relationship Id="rId102" Type="http://schemas.openxmlformats.org/officeDocument/2006/relationships/hyperlink" Target="javascript:ShowMainContent('Act',%20'CMSID',%20'102120000000058552',%20'');" TargetMode="External"/><Relationship Id="rId123" Type="http://schemas.openxmlformats.org/officeDocument/2006/relationships/hyperlink" Target="javascript:ShowMainContent('Act',%20'CMSID',%20'102120000000058161',%20'');" TargetMode="External"/><Relationship Id="rId128" Type="http://schemas.openxmlformats.org/officeDocument/2006/relationships/hyperlink" Target="javascript:ShowMainContent('Act',%20'CMSID',%20'102120000000058071',%20'');" TargetMode="External"/><Relationship Id="rId5" Type="http://schemas.openxmlformats.org/officeDocument/2006/relationships/webSettings" Target="webSettings.xml"/><Relationship Id="rId90" Type="http://schemas.openxmlformats.org/officeDocument/2006/relationships/hyperlink" Target="javascript:ShowFootnote('ftn17a_section139');" TargetMode="External"/><Relationship Id="rId95" Type="http://schemas.openxmlformats.org/officeDocument/2006/relationships/hyperlink" Target="javascript:ShowMainContent('Act',%20'CMSID',%20'102120000000058438',%20'');" TargetMode="External"/><Relationship Id="rId19" Type="http://schemas.openxmlformats.org/officeDocument/2006/relationships/hyperlink" Target="javascript:ShowMainContent('Act',%20'CMSID',%20'102120000000058167',%20'');" TargetMode="External"/><Relationship Id="rId14" Type="http://schemas.openxmlformats.org/officeDocument/2006/relationships/hyperlink" Target="javascript:ShowMainContent('Act',%20'CMSID',%20'102120000000058168',%20'');" TargetMode="External"/><Relationship Id="rId22" Type="http://schemas.openxmlformats.org/officeDocument/2006/relationships/hyperlink" Target="javascript:ShowFootnote('ftn99_section139');" TargetMode="External"/><Relationship Id="rId27" Type="http://schemas.openxmlformats.org/officeDocument/2006/relationships/hyperlink" Target="javascript:ShowMainContent('Act',%20'CMSID',%20'102120000000058027',%20'');" TargetMode="External"/><Relationship Id="rId30" Type="http://schemas.openxmlformats.org/officeDocument/2006/relationships/hyperlink" Target="javascript:ShowFootnote('ftn3_section139');" TargetMode="External"/><Relationship Id="rId35" Type="http://schemas.openxmlformats.org/officeDocument/2006/relationships/hyperlink" Target="javascript:ShowMainContent('Act',%20'CMSID',%20'102120000000058167',%20'');" TargetMode="External"/><Relationship Id="rId43" Type="http://schemas.openxmlformats.org/officeDocument/2006/relationships/hyperlink" Target="javascript:ShowFootnote('ftn7_section139');" TargetMode="External"/><Relationship Id="rId48" Type="http://schemas.openxmlformats.org/officeDocument/2006/relationships/hyperlink" Target="javascript:ShowMainContent('Act',%20'CMSID',%20'102120000000058740',%20'');" TargetMode="External"/><Relationship Id="rId56" Type="http://schemas.openxmlformats.org/officeDocument/2006/relationships/hyperlink" Target="javascript:ShowMainContent('Act',%20'CMSID',%20'102120000000058740',%20'');" TargetMode="External"/><Relationship Id="rId64" Type="http://schemas.openxmlformats.org/officeDocument/2006/relationships/hyperlink" Target="javascript:ShowFootnote('ftnstr_section139');" TargetMode="External"/><Relationship Id="rId69" Type="http://schemas.openxmlformats.org/officeDocument/2006/relationships/hyperlink" Target="javascript:ShowFootnote('ftn13_section139');" TargetMode="External"/><Relationship Id="rId77" Type="http://schemas.openxmlformats.org/officeDocument/2006/relationships/hyperlink" Target="javascript:ShowMainContent('Act',%20'CMSID',%20'102120000000058437',%20'');" TargetMode="External"/><Relationship Id="rId100" Type="http://schemas.openxmlformats.org/officeDocument/2006/relationships/hyperlink" Target="javascript:ShowFootnote('ftn33a_section32');" TargetMode="External"/><Relationship Id="rId105" Type="http://schemas.openxmlformats.org/officeDocument/2006/relationships/hyperlink" Target="javascript:ShowMainContent('Act',%20'CMSID',%20'102120000000058090',%20'');" TargetMode="External"/><Relationship Id="rId113" Type="http://schemas.openxmlformats.org/officeDocument/2006/relationships/hyperlink" Target="javascript:ShowMainContent('Act',%20'CMSID',%20'102120000000058063',%20'');" TargetMode="External"/><Relationship Id="rId118" Type="http://schemas.openxmlformats.org/officeDocument/2006/relationships/hyperlink" Target="javascript:ShowMainContent('Act',%20'CMSID',%20'102120000000058114',%20'');" TargetMode="External"/><Relationship Id="rId126" Type="http://schemas.openxmlformats.org/officeDocument/2006/relationships/hyperlink" Target="javascript:ShowMainContent('Act',%20'CMSID',%20'102120000000058161',%20'');" TargetMode="External"/><Relationship Id="rId8" Type="http://schemas.openxmlformats.org/officeDocument/2006/relationships/hyperlink" Target="javascript:ShowMainContent('Act',%20'CMSID',%20'102120000000058382',%20'');" TargetMode="External"/><Relationship Id="rId51" Type="http://schemas.openxmlformats.org/officeDocument/2006/relationships/hyperlink" Target="javascript:ShowMainContent('Act',%20'CMSID',%20'102120000000058740',%20'');" TargetMode="External"/><Relationship Id="rId72" Type="http://schemas.openxmlformats.org/officeDocument/2006/relationships/hyperlink" Target="javascript:ShowFootnote('ftn14_section139');" TargetMode="External"/><Relationship Id="rId80" Type="http://schemas.openxmlformats.org/officeDocument/2006/relationships/hyperlink" Target="javascript:ShowMainContent('Act',%20'CMSID',%20'102120000000058579',%20'');" TargetMode="External"/><Relationship Id="rId85" Type="http://schemas.openxmlformats.org/officeDocument/2006/relationships/hyperlink" Target="javascript:ShowMainContent('Act',%20'CMSID',%20'102120000000058488',%20'');" TargetMode="External"/><Relationship Id="rId93" Type="http://schemas.openxmlformats.org/officeDocument/2006/relationships/hyperlink" Target="javascript:ShowMainContent('Act',%20'CMSID',%20'102120000000058720',%20'');" TargetMode="External"/><Relationship Id="rId98" Type="http://schemas.openxmlformats.org/officeDocument/2006/relationships/hyperlink" Target="javascript:ShowMainContent('Act',%20'CMSID',%20'102120000000058089',%20'');" TargetMode="External"/><Relationship Id="rId121" Type="http://schemas.openxmlformats.org/officeDocument/2006/relationships/hyperlink" Target="javascript:ShowMainContent('Act',%20'CMSID',%20'102120000000058114',%20'');" TargetMode="External"/><Relationship Id="rId3" Type="http://schemas.openxmlformats.org/officeDocument/2006/relationships/styles" Target="styles.xml"/><Relationship Id="rId12" Type="http://schemas.openxmlformats.org/officeDocument/2006/relationships/hyperlink" Target="javascript:ShowMainContent('Act',%20'CMSID',%20'102120000000058166',%20'');" TargetMode="External"/><Relationship Id="rId17" Type="http://schemas.openxmlformats.org/officeDocument/2006/relationships/hyperlink" Target="javascript:ShowFootnote('ftn4_section139');" TargetMode="External"/><Relationship Id="rId25" Type="http://schemas.openxmlformats.org/officeDocument/2006/relationships/hyperlink" Target="javascript:ShowFootnote('ftn2_section139');" TargetMode="External"/><Relationship Id="rId33" Type="http://schemas.openxmlformats.org/officeDocument/2006/relationships/hyperlink" Target="javascript:ShowFootnote('ftn4_section139');" TargetMode="External"/><Relationship Id="rId38" Type="http://schemas.openxmlformats.org/officeDocument/2006/relationships/hyperlink" Target="javascript:ShowMainContent('Act',%20'CMSID',%20'102120000000058402',%20'');" TargetMode="External"/><Relationship Id="rId46" Type="http://schemas.openxmlformats.org/officeDocument/2006/relationships/hyperlink" Target="javascript:ShowMainContent('Act',%20'CMSID',%20'102120000000058740',%20'');" TargetMode="External"/><Relationship Id="rId59" Type="http://schemas.openxmlformats.org/officeDocument/2006/relationships/hyperlink" Target="javascript:ShowFootnote('ftn9_section139');" TargetMode="External"/><Relationship Id="rId67" Type="http://schemas.openxmlformats.org/officeDocument/2006/relationships/hyperlink" Target="javascript:ShowMainContent('Act',%20'CMSID',%20'102120000000058402',%20'');" TargetMode="External"/><Relationship Id="rId103" Type="http://schemas.openxmlformats.org/officeDocument/2006/relationships/hyperlink" Target="javascript:ShowFootnote('ftnstr_section32');" TargetMode="External"/><Relationship Id="rId108" Type="http://schemas.openxmlformats.org/officeDocument/2006/relationships/hyperlink" Target="javascript:ShowFootnote('ftn36_section32');" TargetMode="External"/><Relationship Id="rId116" Type="http://schemas.openxmlformats.org/officeDocument/2006/relationships/hyperlink" Target="javascript:ShowFootnote('ftn50_section72a');" TargetMode="External"/><Relationship Id="rId124" Type="http://schemas.openxmlformats.org/officeDocument/2006/relationships/hyperlink" Target="javascript:ShowMainContent('Act',%20'CMSID',%20'102120000000058161',%20'');" TargetMode="External"/><Relationship Id="rId129" Type="http://schemas.openxmlformats.org/officeDocument/2006/relationships/header" Target="header1.xml"/><Relationship Id="rId20" Type="http://schemas.openxmlformats.org/officeDocument/2006/relationships/hyperlink" Target="javascript:ShowMainContent('Act',%20'CMSID',%20'102120000000058168',%20'');" TargetMode="External"/><Relationship Id="rId41" Type="http://schemas.openxmlformats.org/officeDocument/2006/relationships/hyperlink" Target="javascript:ShowMainContent('Act',%20'CMSID',%20'102120000000058031',%20'');" TargetMode="External"/><Relationship Id="rId54" Type="http://schemas.openxmlformats.org/officeDocument/2006/relationships/hyperlink" Target="javascript:ShowMainContent('Act',%20'CMSID',%20'102120000000058740',%20'');" TargetMode="External"/><Relationship Id="rId62" Type="http://schemas.openxmlformats.org/officeDocument/2006/relationships/hyperlink" Target="javascript:ShowMainContent('Act',%20'CMSID',%20'102120000000058066',%20'');" TargetMode="External"/><Relationship Id="rId70" Type="http://schemas.openxmlformats.org/officeDocument/2006/relationships/hyperlink" Target="javascript:ShowMainContent('Act',%20'CMSID',%20'102120000000058402',%20'');" TargetMode="External"/><Relationship Id="rId75" Type="http://schemas.openxmlformats.org/officeDocument/2006/relationships/hyperlink" Target="javascript:ShowMainContent('Act',%20'CMSID',%20'102120000000058425',%20'');" TargetMode="External"/><Relationship Id="rId83" Type="http://schemas.openxmlformats.org/officeDocument/2006/relationships/hyperlink" Target="javascript:ShowMainContent('Act',%20'CMSID',%20'102120000000058600',%20'');" TargetMode="External"/><Relationship Id="rId88" Type="http://schemas.openxmlformats.org/officeDocument/2006/relationships/hyperlink" Target="javascript:ShowFootnote('ftn17_section139');" TargetMode="External"/><Relationship Id="rId91" Type="http://schemas.openxmlformats.org/officeDocument/2006/relationships/hyperlink" Target="javascript:ShowFootnote('ftn17a_section139');" TargetMode="External"/><Relationship Id="rId96" Type="http://schemas.openxmlformats.org/officeDocument/2006/relationships/hyperlink" Target="javascript:ShowFootnote('ftn31_section32');" TargetMode="External"/><Relationship Id="rId111" Type="http://schemas.openxmlformats.org/officeDocument/2006/relationships/hyperlink" Target="javascript:ShowMainContent('Act',%20'CMSID',%20'102120000000058165',%20'');" TargetMode="External"/><Relationship Id="rId13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javascript:ShowMainContent('Act',%20'CMSID',%20'102120000000058161',%20'');" TargetMode="External"/><Relationship Id="rId23" Type="http://schemas.openxmlformats.org/officeDocument/2006/relationships/hyperlink" Target="javascript:ShowFootnote('ftn1_section139');" TargetMode="External"/><Relationship Id="rId28" Type="http://schemas.openxmlformats.org/officeDocument/2006/relationships/hyperlink" Target="javascript:ShowMainContent('Act',%20'CMSID',%20'102120000000058028',%20'');" TargetMode="External"/><Relationship Id="rId36" Type="http://schemas.openxmlformats.org/officeDocument/2006/relationships/hyperlink" Target="javascript:ShowMainContent('Act',%20'CMSID',%20'102120000000058168',%20'');" TargetMode="External"/><Relationship Id="rId49" Type="http://schemas.openxmlformats.org/officeDocument/2006/relationships/hyperlink" Target="javascript:ShowFootnote('ftn8_section139');" TargetMode="External"/><Relationship Id="rId57" Type="http://schemas.openxmlformats.org/officeDocument/2006/relationships/hyperlink" Target="javascript:ShowMainContent('Act',%20'CMSID',%20'102120000000058740',%20'');" TargetMode="External"/><Relationship Id="rId106" Type="http://schemas.openxmlformats.org/officeDocument/2006/relationships/hyperlink" Target="javascript:ShowFootnote('ftn34_section32');" TargetMode="External"/><Relationship Id="rId114" Type="http://schemas.openxmlformats.org/officeDocument/2006/relationships/hyperlink" Target="javascript:ShowMainContent('Act',%20'CMSID',%20'102120000000058053',%20'');" TargetMode="External"/><Relationship Id="rId119" Type="http://schemas.openxmlformats.org/officeDocument/2006/relationships/hyperlink" Target="javascript:ShowMainContent('Act',%20'CMSID',%20'102120000000058114',%20'');" TargetMode="External"/><Relationship Id="rId127" Type="http://schemas.openxmlformats.org/officeDocument/2006/relationships/hyperlink" Target="javascript:ShowFootnote('ftn51_section73');" TargetMode="External"/><Relationship Id="rId10" Type="http://schemas.openxmlformats.org/officeDocument/2006/relationships/hyperlink" Target="javascript:ShowMainContent('Act',%20'CMSID',%20'102120000000058165',%20'');" TargetMode="External"/><Relationship Id="rId31" Type="http://schemas.openxmlformats.org/officeDocument/2006/relationships/hyperlink" Target="javascript:ShowMainContent('Act',%20'CMSID',%20'102120000000058161',%20'');" TargetMode="External"/><Relationship Id="rId44" Type="http://schemas.openxmlformats.org/officeDocument/2006/relationships/hyperlink" Target="javascript:ShowMainContent('Act',%20'CMSID',%20'102120000000058034',%20'');" TargetMode="External"/><Relationship Id="rId52" Type="http://schemas.openxmlformats.org/officeDocument/2006/relationships/hyperlink" Target="javascript:ShowFootnote('ftn9_section139');" TargetMode="External"/><Relationship Id="rId60" Type="http://schemas.openxmlformats.org/officeDocument/2006/relationships/hyperlink" Target="javascript:ShowMainContent('Act',%20'CMSID',%20'102120000000058740',%20'');" TargetMode="External"/><Relationship Id="rId65" Type="http://schemas.openxmlformats.org/officeDocument/2006/relationships/hyperlink" Target="javascript:ShowFootnote('ftn12_section139');" TargetMode="External"/><Relationship Id="rId73" Type="http://schemas.openxmlformats.org/officeDocument/2006/relationships/hyperlink" Target="javascript:ShowMainContent('Act',%20'CMSID',%20'102120000000058409',%20'');" TargetMode="External"/><Relationship Id="rId78" Type="http://schemas.openxmlformats.org/officeDocument/2006/relationships/hyperlink" Target="javascript:ShowMainContent('Act',%20'CMSID',%20'102120000000058438',%20'');" TargetMode="External"/><Relationship Id="rId81" Type="http://schemas.openxmlformats.org/officeDocument/2006/relationships/hyperlink" Target="javascript:ShowMainContent('Act',%20'CMSID',%20'102120000000058597',%20'');" TargetMode="External"/><Relationship Id="rId86" Type="http://schemas.openxmlformats.org/officeDocument/2006/relationships/hyperlink" Target="javascript:ShowMainContent('Act',%20'CMSID',%20'102120000000058439',%20'');" TargetMode="External"/><Relationship Id="rId94" Type="http://schemas.openxmlformats.org/officeDocument/2006/relationships/hyperlink" Target="javascript:ShowMainContent('Act',%20'CMSID',%20'102120000000058727',%20'');" TargetMode="External"/><Relationship Id="rId99" Type="http://schemas.openxmlformats.org/officeDocument/2006/relationships/hyperlink" Target="javascript:ShowFootnote('ftn33_section32');" TargetMode="External"/><Relationship Id="rId101" Type="http://schemas.openxmlformats.org/officeDocument/2006/relationships/hyperlink" Target="javascript:ShowMainContent('Act',%20'CMSID',%20'102120000000058114',%20'');" TargetMode="External"/><Relationship Id="rId122" Type="http://schemas.openxmlformats.org/officeDocument/2006/relationships/hyperlink" Target="javascript:ShowMainContent('Act',%20'CMSID',%20'102120000000058161',%20'');" TargetMode="External"/><Relationship Id="rId13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javascript:ShowMainContent('Act',%20'CMSID',%20'102120000000058161',%20'');" TargetMode="External"/><Relationship Id="rId13" Type="http://schemas.openxmlformats.org/officeDocument/2006/relationships/hyperlink" Target="javascript:ShowMainContent('Act',%20'CMSID',%20'102120000000058167',%20'');" TargetMode="External"/><Relationship Id="rId18" Type="http://schemas.openxmlformats.org/officeDocument/2006/relationships/hyperlink" Target="javascript:ShowMainContent('Act',%20'CMSID',%20'102120000000058166',%20'');" TargetMode="External"/><Relationship Id="rId39" Type="http://schemas.openxmlformats.org/officeDocument/2006/relationships/hyperlink" Target="javascript:ShowFootnote('ftn6_section139');" TargetMode="External"/><Relationship Id="rId109" Type="http://schemas.openxmlformats.org/officeDocument/2006/relationships/hyperlink" Target="javascript:ShowMainContent('Act',%20'CMSID',%20'102120000000058090',%20'');" TargetMode="External"/><Relationship Id="rId34" Type="http://schemas.openxmlformats.org/officeDocument/2006/relationships/hyperlink" Target="javascript:ShowMainContent('Act',%20'CMSID',%20'102120000000058166',%20'');" TargetMode="External"/><Relationship Id="rId50" Type="http://schemas.openxmlformats.org/officeDocument/2006/relationships/hyperlink" Target="javascript:ShowFootnote('ftn8_section139');" TargetMode="External"/><Relationship Id="rId55" Type="http://schemas.openxmlformats.org/officeDocument/2006/relationships/hyperlink" Target="javascript:ShowMainContent('Act',%20'CMSID',%20'102120000000058740',%20'');" TargetMode="External"/><Relationship Id="rId76" Type="http://schemas.openxmlformats.org/officeDocument/2006/relationships/hyperlink" Target="javascript:ShowMainContent('Act',%20'CMSID',%20'102120000000058425',%20'');" TargetMode="External"/><Relationship Id="rId97" Type="http://schemas.openxmlformats.org/officeDocument/2006/relationships/hyperlink" Target="javascript:ShowFootnote('ftn32_section32');" TargetMode="External"/><Relationship Id="rId104" Type="http://schemas.openxmlformats.org/officeDocument/2006/relationships/hyperlink" Target="javascript:ShowFootnote('ftndgr_section32');" TargetMode="External"/><Relationship Id="rId120" Type="http://schemas.openxmlformats.org/officeDocument/2006/relationships/hyperlink" Target="javascript:ShowMainContent('Act',%20'CMSID',%20'102120000000058114',%20'');" TargetMode="External"/><Relationship Id="rId125" Type="http://schemas.openxmlformats.org/officeDocument/2006/relationships/hyperlink" Target="javascript:ShowMainContent('Act',%20'CMSID',%20'102120000000058110',%20'');" TargetMode="External"/><Relationship Id="rId7" Type="http://schemas.openxmlformats.org/officeDocument/2006/relationships/endnotes" Target="endnotes.xml"/><Relationship Id="rId71" Type="http://schemas.openxmlformats.org/officeDocument/2006/relationships/hyperlink" Target="javascript:ShowMainContent('Act',%20'CMSID',%20'102120000000058099',%20'');" TargetMode="External"/><Relationship Id="rId92" Type="http://schemas.openxmlformats.org/officeDocument/2006/relationships/hyperlink" Target="javascript:ShowMainContent('Act',%20'CMSID',%20'102120000000058099',%20'');" TargetMode="External"/><Relationship Id="rId2" Type="http://schemas.openxmlformats.org/officeDocument/2006/relationships/numbering" Target="numbering.xml"/><Relationship Id="rId29" Type="http://schemas.openxmlformats.org/officeDocument/2006/relationships/hyperlink" Target="javascript:ShowMainContent('Act',%20'CMSID',%20'102120000000058241',%20'');" TargetMode="External"/><Relationship Id="rId24" Type="http://schemas.openxmlformats.org/officeDocument/2006/relationships/hyperlink" Target="javascript:ShowMainContent('Act',%20'CMSID',%20'102120000000058020',%20'');" TargetMode="External"/><Relationship Id="rId40" Type="http://schemas.openxmlformats.org/officeDocument/2006/relationships/hyperlink" Target="javascript:ShowMainContent('Act',%20'CMSID',%20'102120000000058016',%20'');" TargetMode="External"/><Relationship Id="rId45" Type="http://schemas.openxmlformats.org/officeDocument/2006/relationships/hyperlink" Target="javascript:ShowMainContent('Act',%20'CMSID',%20'102120000000058740',%20'');" TargetMode="External"/><Relationship Id="rId66" Type="http://schemas.openxmlformats.org/officeDocument/2006/relationships/hyperlink" Target="http://www.incometaxindia.gov.in/Acts/Income-tax%20Act,%201961/2016/Others/section115ub.htm" TargetMode="External"/><Relationship Id="rId87" Type="http://schemas.openxmlformats.org/officeDocument/2006/relationships/hyperlink" Target="javascript:ShowFootnote('ftn16_section139');" TargetMode="External"/><Relationship Id="rId110" Type="http://schemas.openxmlformats.org/officeDocument/2006/relationships/hyperlink" Target="javascript:ShowMainContent('Act',%20'CMSID',%20'102120000000058161',%20'');" TargetMode="External"/><Relationship Id="rId115" Type="http://schemas.openxmlformats.org/officeDocument/2006/relationships/hyperlink" Target="javascript:ShowMainContent('Act',%20'CMSID',%20'102120000000058066',%20'');" TargetMode="External"/><Relationship Id="rId131" Type="http://schemas.openxmlformats.org/officeDocument/2006/relationships/fontTable" Target="fontTable.xml"/><Relationship Id="rId61" Type="http://schemas.openxmlformats.org/officeDocument/2006/relationships/hyperlink" Target="javascript:ShowFootnote('ftn10_section139');" TargetMode="External"/><Relationship Id="rId82" Type="http://schemas.openxmlformats.org/officeDocument/2006/relationships/hyperlink" Target="javascript:ShowMainContent('Act',%20'CMSID',%20'102120000000058601',%20'');"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crd27220@ica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FFB24-811E-4170-960B-41A361F49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10314</Words>
  <Characters>58792</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Ramadurai Chandrasekaran</dc:creator>
  <cp:keywords/>
  <dc:description/>
  <cp:lastModifiedBy>Ramadurai Chandrasekaran</cp:lastModifiedBy>
  <cp:revision>2</cp:revision>
  <dcterms:created xsi:type="dcterms:W3CDTF">2017-03-09T13:31:00Z</dcterms:created>
  <dcterms:modified xsi:type="dcterms:W3CDTF">2017-03-09T13:31:00Z</dcterms:modified>
</cp:coreProperties>
</file>